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5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junio de 2012, la Procuradora de los Tribunales doña Rocío Sampere Meneses, en nombre y representación de la entidad mercantil Ros Casares Centro del Acero, S.L., y bajo la dirección del Letrado don Ignacio Zurdo Ruíz-Ayucar, interpuso demanda de amparo contra providencia de la Sala de lo Contencioso-Administrativo del Tribunal Supremo en incidente de nulidad de actuaciones contra Auto dictado en recurso de casación núm. 3435-2011 contra la Sentencia de la Sección Primera de la Sala del mismo orden del Tribunal Superior de Justicia del País Vasco en procedimiento ordinario núm. 1576-2008.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 de diciembre de 2012, el Magistrado Excmo. Sr. don Juan José González Rivas manifestó su voluntad de abstenerse en el presente recurso de amparo y todas sus incidencias, por entender que concurría la causa establecida en el artículo 219.11 de la Ley Orgánica del Poder Judicial, supletoria de la Ley Orgánica 2/1979 del Tribunal Constitucional (art. 80), al haber intervenido en instancia anterior, toda vez que formó parte de la Sección Primera de la Sala Tercera del Tribunal Supremo, que dictó el Auto de 26 de enero de 2012, en su condición de Magistrado de la Sala de lo Contencioso-Administrativo del Tribunal Supremo de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Excmo. Sr. don Juan José González Rivas en el recurso de amparo núm. 3954-2012 y apartarle definitivamente del conocimiento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