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11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se sigue la cuestión de inconstitucionalidad núm. 8952-2010, planteada por la Sección Segunda de la Sala de lo Contencioso-Administrativo del Tribunal Superior de Justicia de Castilla-La Mancha, en relación con los arts. 1 a 15 de la Ley 16/2005, de 29 de diciembre, de la Comunidad Autónoma de Castilla-La Mancha, del impuesto sobre determinadas actividades que inciden en el medio ambiente y del tipo autonómico del impuesto sobre las ventas minoristas de determinados hidrocarburos, por posible vulneración de los arts. 149.1.13, 23 y 25, 133.2 y 157.3 CE y 6.2 y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22 de noviembre de 2012, dirigido al Pleno del Tribunal Constitucional, el Presidente del mismo don Pascual Sala Sánchez comunicó a los efectos oportunos que se abstenía de intervenir en dicho asunto, de conformidad con el art. 219.2 de la Ley Orgánica del Poder Judicial, por existir parentesco de consanguinidad con la dirección letrada de una de las partes en el proceso a quo (procedimiento ordinario núm. 463-2006).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Pascual Sala Sánchez, Presidente de este Tribunal, en virtud de lo previsto en los arts. 80 de la Ley Orgánica del Tribunal Constitucional y 219.1 y 2 y 221.4 de la Ley Orgánica del Poder Judicial, procede estimar la causa de abstención formulada, puesto que el mencionado Magistrado tiene relación de parentesco de consanguinidad con el Letrado de una de las partes en el proceso a quo.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don Pascual Sala Sánchez en la cuestión de inconstitucionalidad núm. 8952-2010, apartándole definitivamente del conocimiento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