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4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mayo de 2012, se solicita en representación de don Antonio Fernández Álvarez el nombramiento de Procurador y Abogado del turno de oficio para interponer recurso de amparo contra la Sentencia de la Sección Segunda de la Audiencia Provincial de A Coruña de 27 de febrero de 2012, por la que se desestima el recurso de apelación núm. 312-2011, interpuesto contra la Sentencia del Juzgado de lo Penal núm. 5 de A Coruña de 21 de junio de 2011, dictada en el juicio oral núm. 85-2011, en que se condena al recurrente por un delito intentado de robo con fuerza en las cosas a la pena de prisión de nueve meses, la accesoria de inhabilitación especial para el ejercicio del derecho de sufragio pasivo durante el tiempo de la condena, así como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realizadas las designaciones de los profesionales del turno de oficio, mediante escrito registrado el 25 de julio de 2012, la Procuradora de los Tribunales doña Isabel del Pino Peño, bajo la asistencia de la Letrada doña María Paloma García García, formalizó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7 de octubre de 2013,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17 de octubre de 2013, presentó alegaciones en las que, enunciando la jurisprudencia de este Tribunal sobre el particular, interesó la suspensión de la pena privativa de libertad, argumentando que si se compara la duración de la pena privativa de libertad impuesta, que es de prisión de nueve meses, con el tiempo que normalmente se consume en la tramitación de un recurso de amparo, la denegación de la suspensión causaría al recurrente un perjuicio irreparable. Por el contrario, considera que no debe accederse a suspender la condena al pago de las costas procesales por su carácter de consecuencia jurídica de carácter económico y no haberse acreditado los graves perjuicios que podrían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16 de octubre de 2013, presentó alegaciones poniendo de manifiesto que la suspensión de las penas de nueve meses de prisión y la accesoria de inhabilitación especial no suponen una perturbación grave de los intereses generales y su cumplimiento podría hacer perder la finalidad del recurso de amparo. En relación con la suspensión del pago de las costas, el recurrente argumenta que carece de medios económicos para hacer frente al pago dadas su minusvalía y situación de paro, “poniéndole en una grave situación vital al necesitar los escasísimos recursos económicos que pueda tener para poder vivir”.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penas de privación de libertad, este Tribunal ha afirmado que procede, en principio, acordar su suspensión al afectar a un bien de imposible o muy difícil restitución, pero destacando que este criterio general tampoco es absoluto, ya que en estos supuestos deben ponderarse otras circunstancias relevantes, significativamente la duración y gravedad de la pena impuesta porque en ella se expresa la reprobación que el ordenamiento asigna al hecho delictivo y, por consiguiente, la magnitud del interés general en su ejecución. Del mismo modo, este Tribunal también ha afirmado que la suspensión de la pena privativa de libertad debe conllevar la suspensión de las penas accesorias de inhabilitación que lleven a aparejadas (ATC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suspensión de la Sentencia impugnada, en primer lugar, respecto de la pena de prisión de nueve meses y su accesoria de inhabilitación especial para el ejercicio del derecho de sufragio pasivo durante ese mismo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también el Ministerio Fiscal, debe acordarse la suspensión de la pena privativa de libertad y su accesoria de inhabilitación especial. Su ejecución puede ocasionar al recurrente perjuicios irreparables que harían perder al amparo su finalidad, tanto por afectar al valor fundamental de la libertad como porque si se compara la duración de tales penas —nueve meses— con el tiempo que requiere la tramitación de un proceso de amparo como el presente, la no suspensión de su ejecución ocasionaría un perjuicio irreparable, que privaría en parte o, incluso, en todo de eficacia a un eventual fallo estimatorio. Por otra parte, el acceder a la suspensión pretendida no ocasiona una lesión específica y grave de un interés constitucionalmente protegido —más allá de aquél que de por sí produce la no ejecución de un fallo judicial—, ni de derechos fundamentales o libertades públicas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también ha solicitado la suspensión de la condena en costas argumentando su minusvalía, la situación de paro y que carece de recursos económicos. Sin embargo, tal como también ha interesado el Ministerio Fiscal, no procede acceder a dicha solicitud. El recurrente no ha cumplido la carga procesal que le incumbe de acreditar la concurrencia de un perjuicio irreparable derivado de la ejecución de este pronunciamiento, toda vez que ni ha puesto de manifiesto la cuantificación de las costas procesales ni si esa carencia de medios que alega ha dado ya lugar a la aprobación de la declaración de insolvencia en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del Juzgado de lo Penal núm. 5 de A Coruña de 21 de junio de 2011, dictada en el juicio oral núm. 95-2011, exclusivamente en lo relativo a la pena de prisión de nueve meses y a la accesoria de inhabilitación especial para 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