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 de julio de 2012, el Procurador de los Tribunales don Argimiro Vázquez Guillén, en nombre y representación de la entidad Eurohueco, S.A., y bajo la dirección del Letrado don Jorge Herranz Piñón, interpuso demanda de amparo contra Auto de la Sección Primera de la Sala de lo Contencioso-Administrativo del Tribunal Supremo en recurso de casación núm. 197-2011 contra la Sentencia de la Sección Séptima de la Sala de igual orden de la Audiencia Nacional en procedimiento ordinario núm. 964-2006.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5 de febrero de 2013, el Magistrado Excmo. Sr. don Juan José González Rivas manifestó su voluntad de abstenerse en el presente recurso de amparo y todas sus incidencias, por entender que concurría la causa establecida en el artículo 219.11 de la Ley Orgánica del Poder Judicial, supletoria de la Ley Orgánica 2/1979 (artículo 80), al haber intervenido en instancia anterior, toda vez que en su condición de Magistrado de la Sala de lo Contencioso-Administrativo del Tribunal Supremo formó parte de la Sección Primera de la Sala Tercera del Tribunal Supremo, que dictó el Auto de 3 de noviembre de 2011, que ha sido recurrido en el recurso de amparo núm. 4014-2012.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Juan José González Rivas,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 resolución impugnada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Juan José González Rivas en el recurso de amparo núm. 4014-2012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trece de febrero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