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17 de noviembre de 2011, la Procuradora de los Tribunales, doña Isabel Juliá Corujo, en nombre y representación de doña Susana Pérez-Alonso García-Scheredre, interpuso recurso de amparo contra la Sentencia de 27 de septiembre de 2011, dictada en el recurso de casación 805-2008, sobre derechos fundamentales, por la Sala de lo Civil de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correspondido el conocimiento del recurso de amparo a la Sala Segunda de este Tribunal Constitucional, mediante escrito fechado el 13 de febrero de 2013 la Excma. Sra. doña Encarnación Roca Trías expresó que en su anterior condición de Magistrada del Tribunal Supremo formó parte de la Sala que dictó el Auto impugnado en el presente proceso de amparo; y que era por ello que entendía que el referido hecho pudiera integrar la causa de abstención 11 del art. 219 de la Ley Orgánica del Poder Judicial, en relación con el art. 80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la Excma. Sra. doña Encarnación Roca Trías, Magistrada de este Tribunal, en virtud de lo previsto en los arts. 80 de la Ley Orgánica del Tribunal Constitucional y 221.4 de la Ley Orgánica del Poder Judicial (LOPJ) procede estimar justificada la causa de abstención formulada, puesto que la mencionada Magistrada, en atención a haber formado parte del órgano judicial que dictó las resoluciones impugnadas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Excma. Sra. doña Encarnación Roca Trías en el recurso de amparo núm. 6237-2011, apartándole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