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abril de 2012 tuvo entrada en el Registro General de este Tribunal oficio de la Sección Segunda de la Sala de lo Contencioso-Administrativo del Tribunal Superior de Justicia de Madrid, al que se acompaña, junto con el testimonio del recurso de apelación núm. 644-2010 que se tramita ante dicha Sala, el Auto de 21 de febrero de 2012, por el que se acuerda plantear cuestión de inconstitucionalidad respecto del apartado 7 del art. 16.2 b)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Decreto de 22 de enero de 2008 (confirmado en reposición por resolución de 22 de octubre de 2008), el Delegado de Área de Gobierno de Seguridad y Movilidad del Ayuntamiento de Madrid impuso una sanción de 2.000 euros a un taxista, con suspensión de la licencia de auto-taxi durante seis meses, por esperar y recoger viajeros fuera de la parada oficial; lo que constituye infracción administrativa conforme al art. 16 de la Ley 20/1998, de 27 de noviembre, de ordenación y coordinación de los transportes urbanos de la Comunidad de Madrid, en relación con el art. 60 b) 7 del Decreto 74/2005, de 28 de julio, por el que se aprueba el Reglamento de los servicios de transporte público urbano en automóviles de turismo.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las referidas resoluciones el interesado interpuso recurso contencioso-administrativo, que fue desestimado por Sentencia de 8 de marzo de 2010 del Juzgado de lo Contencioso-Administrativo núm. 27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(recurso núm. 644-2010). La Sección Segunda de la Sala de lo Contencioso-Administrativo del Tribunal Superior de Justicia de Madrid, por providencia de 28 de octubre de 2011, otorgó un plazo de diez días a las partes y al Ministerio Fiscal para efectuar alegaciones sobre la pertinencia de plantear cuestión de inconstitucionalidad (art. 35.2 de la Ley Orgánica del Tribunal Constitucional: LOTC) en relación con el apartado 7 del art. 16.2 b) de la Ley 20/1998, de 27 de noviembre, de ordenación y coordinación de los transportes urbanos de la Comunidad de Madrid, al considerar que este precepto podría vulnerar 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Ayuntamiento de Madrid formuló alegaciones aduciendo que, en su opinión, no procedía plantear la cuestión de inconstitucionalidad. Por el contrario, el Ministerio Fiscal estimó pertinente su planteamiento. La parte recurrente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21 de febrero de 2012, la Sección Segunda de la Sala de lo Contencioso-Administrativo del Tribunal Superior de Justicia de la Comunidad de Madrid acordó plantear la presente cuestión de inconstitucionalidad respecto del apartado 7 del art. 16.2 b)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invocando la doctrina de las SSTC 341/1993, de 18 de noviembre, y 26/2005, de 14 de febrero, considera que el precepto cuestionado vulnera el principio de legalidad sancionadora establecido en el art. 25.1 CE, en cuanto que efectúa una remisión en blanco a un reglamento para la configuración ex novo de obligaciones o prohibiciones cuya contravención da origen a una infracción sancionable; en efecto, el inciso inicial del referido art. 16.2 b) dispone que “tendrá la consideración de infracción grave el incumplimiento de las condiciones esenciales de la licencia, salvo que deba considerarse como infracción muy grave”, y establece seguidamente —en el apartado 7 del mismo precepto— que entre esas condiciones esenciales se incluirán, además de las expresamente previstas en el mismo precepto, “cualesquiera otras que puedan establecerse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2012 el Pleno del Tribunal Constitucional acordó admitir a trámite la cuestión de inconstitucionalidad y deferir el conocimiento de la misma a la Sala Primera, a la que por turno objetivo le había correspondido; a la vez, de conformidad con el art. 37.3 LOTC, dar traslado de las actuaciones recibidas al Congreso de los Diputados, al Senado, al Gobierno y al Fiscal General del Estado, así como al Gobierno y a la Asamblea de la Comunidad de Madrid, al objeto de que, en el improrrogable plazo de quince días, pudieran personarse y formular las alegaciones que estimaran convenientes. De igual modo, acordó comunicar la providencia a la Sección Segunda de la Sala de lo Contencioso-Administrativo del Tribunal Superior de Justicia de Madrid a los efectos previstos en el art. 35.3 LOTC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6 de junio de 2012, comunicó que dicha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mediante escrito registrado en este Tribunal el 8 de junio de 2012, comunicó a su vez que la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presentado en el Registro General de este Tribunal el 13 de junio de 2012, se personó y formuló alegaciones, interesando la desestimación de la presente cuestión, por entender que la colaboración del reglamento para deslindar condiciones esenciales y no esenciales de las licencias o autorizaciones de auto-taxi reguladas por la Ley de la Asamblea de Madrid 20/1998 no vulnera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14 de junio de 2012, el Presidente de la Asamblea de la Comunidad de Madrid comunicó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Registro General de este Tribunal el 18 de junio de 2012, la Letrada de la Comunidad de Madrid se personó en este proceso en representación del Gobierno de dicha Comunidad Autónoma y formuló alegaciones, interesando igualmente que se dicte Sentencia que declare la constitucionalidad del precepto cuestionado, por entender que no infringe el principio de legalidad sancionadora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27 de junio de 2012, razonando que el precepto legal cuestionado contiene una remisión en blanco a la potestad reglamentaria que vulnera el principio de legalidad sancionadora del art. 25.1 CE. En consecuencia, interesó que se declarase la inconstitucionalidad y nulidad del apartado 7 del art. 16.2 b) de la Ley de la Asamblea de Madrid 20/1998.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2219-2012,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