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marzo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27 de septiembre de 2006, el Procurador de los Tribunales don Alberto Hidalgo Martínez, en representación de don Pablo Queralto Gómez y asistido por el Abogado don Antonio Villar Rodríguez, interpuso recurso de amparo contra la Sentencia núm. 279/2006, de 20 de julio, dictada por la Sección Segunda de la Audiencia Provincial de Madrid, recaída en el recurso de apelación núm. 148-2005, que revoca la Sentencia absolutoria núm. 353/2004, de 3 de septiembre, dictada por el Juzgado de lo Penal núm. 19 de Madrid en el procedimiento abreviado núm. 423-2003, condenando al recurrente como autor de dos delitos de homicidio imprudente en concurso con un delito contra la seguridad de los trabajadores, a la pena privativa de libertad de dos años y seis meses de prisión, con inhabilitación especial para el ejercicio de la profesión de arquitecto técnico durante el mismo tiempo, así como al pago de una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recurso fue tramitado con el número 8928-2006 y resuelto, una vez cumplidos los trámites procesales, por la STC 22/2013, de 31 de enero, cuya parte dispositiva es del siguiente tenor: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“Otorgar el amparo solicitado por don Pablo Queralto Gómez y, en su virtud: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se ha vulnerado el derecho fundamental del recurrente a la presunción de inocencia (art. 24.2.CE).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Restablecerlo en su derecho y, a tal fin, anular la Sentencia de 20 de julio de 2006 de la Sección Segunda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14 de febrero de 2013, el Procurador de los Tribunales don Juan Escrivá de Romaní y Vereterra, en nombre y representación de doña María del Carmen Martinez Soriano, en calidad de parte personada en el presente recurso de amparo, solicitó aclaración de la Sentencia dictada el 31 de enero de 2013, en los términos que constan en el citado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Siendo varios los condenados por la Sentencia de 20 de julio de 2006 de la Sección Segunda de la Audiencia Provincial de Madrid, en el fundamento jurídico segundo de la STC 22/2013, de 31 de enero, se establece literalmente que “en ningún caso sería posible acceder a la pretensión formulada por distintas partes personadas de que los efectos de un eventual otorgamiento del amparo se extiendan a la nulidad de sus condenas dictadas en la Sentencia que ahora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Advertida la existencia de error material por omisión en el apartado segundo del fallo de la referida Sentencia de este Tribunal de 31 de enero, en el sentido de que en el mismo no consta de manera expresa que la anulación de la Sentencia de la Audiencia Provincial de Madrid se refiere exclusivamente al recurrente en amparo, este Tribunal procede, de conformidad con lo previsto en el art. 80 de la Ley Orgánica del Tribunal Constitucional, en relación con el art. 267 de la Ley Orgánica del Poder Judicial, a su corrección, en los términos que seguidamente se precisan.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Donde dice: “2º Restablecerlo en su derecho y, a tal fin, anular la Sentencia de 20 de julio de 2006 de la Sección Segunda de la Audiencia Provincial de Madrid”, debe decir: “2º Restablecerlo en su derecho y, a tal fin, anular la Sentencia de 20 de julio de 2006 de la Sección Segunda de la Audiencia Provincial de Madrid exclusivamente en lo referido al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Corregir el error padecido en el inciso segundo del fallo de la STC 22/2013, de 31 de enero, en los siguientes términos: “2º Restablecerlo en su derecho y, a tal fin, anular la Sentencia de 20 de julio de 2006 de la Sección Segunda de la Audiencia Provincial de Madrid exclusivamente en lo referido al recurrente”.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un mil trece. a doce de marzo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