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7271-2010, promovido por la entidad General de Galerías Comerciales, S.A., representada por la Procuradora de los Tribunales doña María Luz Albacar Medina y asistida por el Abogado don Antonio Ruiz Villén, contra Sentencia de la Sala de lo Civil del Tribunal Supremo, de 30 de abril de 2010 y contra providencia de la misma Sala, de 13 de julio de 2010, inadmitiendo incidente de nulidad de actuaciones promovido contra dicha Sentencia. Ha actuado como parte demandada la empresa Centros Comerciales Carrefour, S.A., representada por la Procuradora doña Lourdes Fernández-Luna Tamayo y defendida por el Abogado don Joaquín María Almoguera Valencia. Ha intervenido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8 de octubre de 2010, la Procuradora de los Tribunales doña María Luz Albacar Medina interpuso demanda de amparo contra las resoluciones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Centros Comerciales Pryca, S.A., consignó escrito de demanda el 16 de septiembre de 1996 ante los Juzgados de Primera Instancia de Marbella, en acción de reclamación de cantidad por daños y perjuicios derivados de incumplimiento contractual contra la entidad aquí recurrente de amparo. La actora alegaba que estando interesada en la explotación de un hipermercado en el término municipal de Marbella había acudido a la demandada en su calidad de promotora de esta clase de establecimientos, la que a su vez se hallaba en trámites con el Ayuntamiento de Marbella para la permuta de unos terrenos donde se levantaría un centro comercial dentro del cual se situaría el hipermercado objeto del pacto, segregando esta última como finca independiente. Tras una serie de negociaciones mantenidas con sus responsables, prosigue narrando la demanda de instancia, el día 2 de agosto de 1995 la promotora demandada y la constructora EMASA remitieron a la actora un fax por el que se confirmaba “el total, pleno y definitivo acuerdo que se había alcanzado para la venta a mi representada del cajón Hipermercado objeto de la presente demanda”, fax que se aportó como documento núm. 7 de dicha demanda y que se titula “Marbella. Calendario de Pagos”. Como parte de los acuerdos alcanzados, añade, entregó a la demandada “un anticipo o financiación para la construcción del Hipermercado” el cual quedó documentado en un “contrato de préstamo sin interés, otorgado entre las partes en 21 de septiembre de 1995”, con fecha de vencimiento 3 de enero de 1996 (documento núm. 11 de la demanda), si bien la misma se pospuso en varias ocasiones por la falta de adjudicación a la promotora de los terrenos, fijándose una última prórroga para el 16 de septiembre de 1996 (documentos 12 y 13). El precio total de la operación era por importe de dos mil setecientos millones de pesetas (2.700.000.000 pesetas.), de los que dos mil millones (2.000.000.000 pesetas.) debían entregarse a la vendedora en el acto de otorgamiento de las escrituras públicas y “el resto hasta alcanzar el total precio debía satisfacerse de acuerdo con los porcentajes reflejados y acordados en el referido fax, a medida que se alcanzaran distintos niveles de obra de construcción, que lógicamente si se había ya alcanzado al otorgamiento de la escritura pública de formalización de la venta, se añadirían al pago previsto en el apartado 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 de instancia que ante los retrasos de la promotora en otorgar la escritura, llevó a cabo contra ésta un requerimiento por vía notarial el 9 de septiembre de 1996, con entrega de carta de 6 de septiembre (documento núm. 56) por la que le exigía cumpliera con sus obligaciones. Asimismo y dado que el préstamo había sido garantizado mediante aval (compromiso de pago a primer requerimiento) expedido a su favor por el Banco Exterior de España el 20 de septiembre de 1995 (mismo documento núm. 11), también objeto de varias prórrogas, la actora decidió hacerlo efectivo “en protección de sus más legítimos intereses, el reembolso por el Banco garante de los 800 millones de pesetas objeto de la financiación expresada, ya que la referida garantía vencía a todos sus efectos en el día de hoy [16 de septiembre de 1996]”; ejecución del aval del que ya advertía en la propia carta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pedía la condena a la demandada a terminar las obras del hipermercado, otorgar a su favor las correspondientes escrituras y a indemnizar a la actora “en el importe de los daños y perjuicios ocasionados, a determinar su importe en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Admitida la demanda por el Juzgado de Primera Instancia núm. 4 de Marbella (juicio de mayor cuantía núm. 281-1996), la entidad aquí recurrente presentó escrito de contestación a la demanda, invocando la excepción procesal de litisconsorcio pasivo necesario por no demandarse a la entidad EMASA y, en cuanto al fondo, oponiéndose a lo pretendido, negando que existiera contrato de compraventa y defendiendo en todo caso la autonomía del contrato de préstamo por los ochocientos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Abierto trámite de réplica previsto entonces para esta clase de procedimiento por la Ley de enjuiciamiento civil (LEC) de 1881, la actora presentó escrito de 17 de enero de 1997 señalando que ante el conocimiento de que el cajón hipermercado había sido vendido a otra entidad (Alcampo, S.A.), cuantificó las distintas partidas de daños y perjuicios, entre ellas una por mil cien millones de pesetas (1.100.000.000 pesetas) en concepto de daño emergente, resultado de deducir del importe de la venta descubierta del hipermercado (tres mil ochocientos millones), el total de lo pactado en el contrato suscrito entre ambas (los dos mil setecientos millones).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dictó Sentencia el 30 de junio de 1998 desestimando íntegramente la demanda, declarando probado (fundamento cuarto) que existieron dos contratos distintos: (i) el de préstamo suscrito por ochocientos millones mediante convenio privado el 21 de septiembre de 1995, sujeto a varias fechas de vencimiento hasta que el 16 de septiembre de 1996 cuando la actora ejecutó su derecho de reembolso; (ii) y el de venta del cajón hipermercado en los términos que refleja aquel documento núm. 7, habiendo aceptado la demandada la oferta de la actora en la que especificaba el objeto del mismo y el precio. Se declara asimismo probado que ni la vendedora entregó la finca ni la compradora abonó el precio, sin que pueda considerarse parte de este último los ochocientos millones ya citados, teniendo en cuenta lo confesado en juicio por el representante legal de Pryca, S.A., quien reconoce que no se había entregado ninguna cantidad a cuenta del precio de la compraventa, así como del examen de la contabilidad de dicha empresa en cuanto al asiento de la operación del préstamo. A partir de estos datos probatorios, colige el Juzgado que hubo incumplimiento por ambas partes de sus respectivas obligaciones, desestimando íntegramente la demanda e imponiendo las costas a la demandada, lo que se corrigió por Auto de rectificación de error material el 2 de julio de 1998, imponiéndolas a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nuevo Auto de 8 de julio de 1998 y a instancia de esta última parte, se aclaró la Sentencia modificando el fallo para decir que se estimaba la demanda en la concreta petición declarativa de la existencia del contrato de compraventa, aunque “sin haber lugar al resto de los pedimentos interesados en el suplico del escrito expositivo inicial, y todo ello con expresa condena en costas a la significada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Centros Comerciales Pryca, S.A., apeló la Sentencia. Del recurso conoció la Sección Quinta de la Audiencia Provincial de Málaga (rollo núm. 718-1998), que el 4 de noviembre de 2003 dictó Sentencia desestimatoria del mismo confirmando la resolución recurrida, si bien declaró la nulidad del Auto de 8 de julio de 1998 al entender que éste no aclaraba sino que rectificaba erróneamente la Sentencia, al considerar como petición autónoma lo que no pasaba de ser un mero presupuesto de la acción de condena ejercitada (fundamento de Derecho cuarto). En cuanto al fondo y en lo que importa destacar, la Sección juzgadora señala en su fundamento de Derecho quinto, que “tras el estudio de la prueba practicada, y en especial de la documental acompañada de los escritos de demanda y contestación … es correcta y acertada la relación de hechos probados que contiene la sentencia recurrida”, manteniendo también el enfoque jurídico de absolver de la demanda al constatar el incumplimiento de las respectivas obligaciones por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Interpuestos recursos de casación y extraordinario por infracción procesal por la actora contra la resolución de apelación, la Sala de lo Civil del Tribunal Supremo dictó Sentencia el 30 de abril de 2010 (recurso núm. 118-2004) declarando haber lugar a los mismos, revocando las dictadas en instancia con estimación parcial de la demanda formulada y condenando a la entidad demandada por incumplimiento de contrato, debiendo indemnizar a la actora en la suma “del equivalente en euros de mil cien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a este amparo, el fundamento quinto de la Sentencia entra a resolver y estima el recurso extraordinario por infracción procesal, en concreto por infracción de los arts. 1218 y 1225 del Código civil, en relación con los arts. 319 y 326 LEC, error en la valoración de la prueba documental, diciendo: “A la compradora se le reprocha no haber cumplido con su obligación previa y contractual de adelantar parte del precio, sin tener en cuenta el escrito que la mercantil demandada remitió a la actora el día 2 de Agosto de 1.995. Se trata de lo que ambas partes califican de ‘calendario de pagos’, al que sin duda se relaciona el adelanto, vía préstamo, de los 800.000.000 de pesetas que la compradora entregó a la vendedora un mes después de haber realizado la oferta y que la sentencia califica como un anticipo o señal del precio de la compraventa vinculado, por tanto, al contrato de compraventa del hipermercado, puesto que en la realidad, contrastada mediante dicho documento, venía a cubrir el importe total de las diversas etapas constructivas iniciadas y señaladas en el meritado calendario. Esta prueba contradice de forma evidente los argumentos que, faltos de absoluta lógica, violentan la normalidad contractual con relación al pago puesto que prestamista y prestatario se encontraban vinculados por un contrato de compraventa en el que el comprador asume el compromiso de pagar unas cantidades por la construcción del hipermercado al comenzar las obras (posteriormente renovado), lo cual pone en evidencia el pago que deriva del citado documento y que es perfectamente coherente con el requerimiento notarial dirigido por PRYCA a la vendedora el 9 de septiembre de 1996 para el cumplimiento de su obligación de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este pronunciamiento la Sala entra a resolver el recurso de casación interpuesto en el fundamento sexto, razonando que “la compradora entregó la suma de ochocientos millones de pesetas instrumentada en forma del préstamo como anticipo del precio, cubriendo de esa forma el importe total de las diversas etapas constructivas señaladas en el calendario de pagos. Consecuencia de lo cual es que no debía más cantidad que la restante de 2.000.000 de pesetas que, conforme a dicho calendario, debía satisfacerse en el momento que se concediera a la entidad demandada la Licencia de Construcción y que se otorgara escritura de Declaración de Obra Nueva y División en Régimen de Propiedad Horizontal, ‘donde Centros Comerciales PRYCA quedaría propietaria de la finca destinada a Hipermercado’, previa deducción de cien millones entregados de más”. La Sala sostiene que existe incumplimiento de la vendedora pero no de la compradora, “habida cuenta que entregó 800.000.000 de pesetas al iniciarse la construcción del cajón hipermercado, anticipando con exceso el pago de las distintas partidas referidas en el calendario; exceso que también se tuvo en cuenta en el calendario. Y si no pagó la cantidad restante de 2.000 millones de pesetas fue porque no había surgido dicha obligación, pues … en ningún momento se produjo el otorgamiento de la escritura pública de compraventa a favor de la recurrente, pese a haber sido requerida notarialmente para ello, ni pudo este producirse al haberse transmitido el objeto vendido”.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Accediendo a lo solicitado por la actora en la instancia, “en la forma que se concretó en el escrito de réplica”, la Sentencia entra a cuantificar el perjuicio derivado del incumplimiento de la vendedora, rechazando la condena por lucro cesante (esto es, la “pérdida del negocio que comportaba la adquisición del local”) pero acordándola por daño emergente, equivalente a “la plusvalía que le ha originado la venta a un tercero del Cajón Hipermercado, estimada en la diferencia del valor que tenía la cosa objeto de la compraventa —2.700 millones de pesetas—, y lo que pagó la nueva compradora —3.800 millones de pesetas—, es decir, 1.100 millones” (fundamento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aquí recurrente promovió incidente de nulidad de actuaciones por vulneración del derecho a la tutela judicial efectiva (art. 24.1 CE) en sus vertientes de motivación y derecho a una resolución jurídicamente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la Sala dictó providencia de inadmisión a trámite el 13 de julio de 2010, señalando lo que sigue: “[N]o ha lugar a admitir a trámite el incidente instado, puesto que según se evidencia por la argumentación de la petición de nulidad efectuada en la que se denuncia la vulneración del derecho a la tutela judicial efectiva en su vertiente de derecho a una resolución motivada, dicha solicitud no tiene más fundamento que mostrar la disconformidad de la parte con la fundamentación de la Sentencia que, como consecuencia de una nueva apreciación fáctica derivada de la revisión de la valoración probatoria, declara la existencia de un contrato de compraventa y su resolución por incumplimiento de la parte vendedora con la consiguiente indemnización del daño derivado de la frustración del incremento patrimonial que hubiera experimentado la entidad compradora, planteamiento que queda debidamente exteriorizado y justificado en derecho sin que, más allá de su no aceptación, suponga una motivación arbitraria. De este forma, la denuncia que se realiza a través del incidente tiene una mera finalidad instrumental.”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 Sentencia dictada en casación produce la vulneración del derecho a la tutela judicial efectiva (art. 24.1 CE) en sus vertientes de derecho a la motivación de las resoluciones judiciales y a obtener una decisión fundada en Derecho, señalando que contiene una “motivación arbitraria e irrazonable, que hace abstracción de las pruebas obrantes en autos y del derecho que le es aplicable, alcanzando una conclusión de todo punto estrambótica e incomprensible”. Considera que la Sala ha contradicho su doctrina general acerca de la improcedencia de revisar en casación los hechos probados y la interpretación de los contratos realizada por los tribunales de instancia, con el resultado de una valoración absurda de la prueba, en cuanto a considerar que los ochocientos millones de pesetas sirvieron como anticipo para cubrir las diversas etapas constructivas señaladas en el calendario de pagos, sin “ningún elemento o material probatorio en el que basa su opinión”, pues las cantidades entregadas en concepto de préstamo no pueden ser imputadas a un pago salvo que las partes novasen el negocio, lo que no ocurrió, hasta el punto, añade, que el préstamo fue devuelto.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del recurso, considera la demanda de amparo que la Sentencia de casación incurre en lesión del art. 24.1 CE, en las dos vertientes indicadas (motivación y resolución fundada), por fijar la cantidad de mil cien millones de pesetas en concepto de indemnización por daño emergente mediante un razonamiento erróneo y arbitrario, que no pasa de ser una mera elucubración y que ni siquiera es realista por no tener en cuenta las cargas fiscales y otros gastos que hubiera generado la propia operación de compraventa; aparte de que en el suplico de la demanda de primera instancia la actora no solicitó que se cuantificaran los daños en sentencia sino en trámite de su ejecución, lo que produce también lesión del derecho a la tutela judicial efectiva, Tercer motivo del recurso, por incongruencia extra petitum.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queja la demanda de amparo, en un motivo que califica de “subsidiario” de los tres anteriores, de la “escasa o nula relevancia” que ha tenido para la Sala de lo Civil del Tribunal Supremo la interposición del incidente de nulidad de actuaciones promovido contra su Sentencia, a pesar de la reforma que dicho mecanismo de tutela de derechos fundamentales ha experimentado con la Ley Orgánica 6/2007, de 24 de mayo, potenciando su utilidad. En su virtud solicita la nulidad de las dos resoluciones impugnadas y, en su defecto, sólo la de la providencia de inadmisión del incidente para que se retrotraigan actuaciones al momento anterior a ser ésta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trascendencia constitucional del recurso del art. 50.1 b) de la Ley Orgánica del Tribunal Constitucional, con invocación de la STC 155/2009, de 25 de junio, en tres aspectos: primero, la existencia de una resolución que, como la Sentencia impugnada, evidencia a su parecer un decisionismo arbitrario en su contenido que vulnera los derechos fundamentales ya invocados; segundo, las consecuencias que tiene la resolución desde la perspectiva de la condena al pago de una suma de mil cien millones de pesetas, suficiente para producir la quiebra de cualquier empresa por potente y saneada que se encuentre; y tercero, en cuanto a la providencia de inadmisión del incidente de nulidad de actuaciones promovido contra aquella Sentencia, la misma responde a la práctica habitual de los órganos judiciales de restar toda importancia a su función de primeros tuteladores de los derechos y garantías fundamentales a través del referido incidente de nulidad, sin entrar en el fondo de los escritos y limitándose a entender que la formulación del incidente es meramente instrumental del posterior recurso de amparo, lo que no responde a una lectura constitucional de la reforma de la Ley Orgánica del Tribunal Constitucional del año 2007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Cuarta de este Tribunal, de 23 de marzo de 2011, se acordó dirigir comunicación al Juzgado de Primera Instancia núm. 4 de Marbella para que remitiera certificación o fotocopia adverada de las actuaciones correspondientes, insistiéndose mediante recordatorio de 9 de junio de 2011, finalmente cumplimentado por dicho órgano judicial a través de oficio de 20 de julio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16 de febrero de 2012 la Sala Segunda de este Tribunal dictó providencia admitiendo a trámite la demanda de amparo, acordando dirigir comunicación a la Sala Primera del Tribunal Supremo y a la Sección Quinta de la Audiencia Provincial de Málaga para que en plazo no superior a diez días remitieran certificación o fotocopia adverada de las actuaciones relativas, respectivamente, al recurso de casación núm. 118-2004 y al recurso de apelación 718-1998; mientras que se acordó dirigir también comunicación al Juzgado de Primera Instancia núm. 4 de Marbella para que procediera a emplazar a quienes hubieren sido parte en el procedimiento, excepto la entidad recurrente, a fin de su comparecencia ante este Tribunal si lo desean en plazo no superior a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respuesta a este emplazamiento, la Procuradora de los Tribunales doña Lourdes Fernández-Luna Tamayo, actuando como representante de la empresa Centros Comerciales Carrefour, S.A. (titular de los derechos de Centros Comerciales Pryca, S.A.), presentó escrito el 30 de marzo de 2012 solicitando se le tuviera por parte personada en el recurso, dictándose diligencia de ordenación por la Sala Segunda de este Tribunal el 9 de mayo de 2012, aceptando dicha personación aunque condicionada a que por su representante procesal se aportase en el plazo de diez días la escritura de poder original, lo que se satisfizo mediante escrito de 17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dar vista de las actuaciones a las partes y al Ministerio Fiscal por plazo común de veinte días, en orden a la presentación de alegaciones del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25 de mayo de 2012, la representación procesal de la entidad recurrente presentó sus alegaciones ratificándose en todo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 hizo la entidad Centros Comerciales Carrefour, S.A., mediante escrito de 13 de junio de 2012, interesando se dictara Sentencia de inadmisión y subsidiariamente de desestimación del recurso. En primer término, adujo como óbices: a) la extemporaneidad de la demanda, por resultar improcedente el incidente de nulidad de actuaciones con el que sólo se pretendía un nuevo enjuiciamiento del caso controvertido; y b) la falta de justificación del requisito de la especial trascendencia constitucional del recurso, porque ésta se basa en la gravedad de la lesión y porque además se le denegó la suspensión cautelar de la resolución recurrida, por no ser irreparable el perjuicio económico que alega. Ya en cuanto al fondo, la parte defiende lo que han sido sus pretensiones en la vía judicial previa y la corrección de la Sentencia impugnada en amparo, negando que haya vulneración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15 de junio de 2012, interesando la desestimación del recurso de amparo. Sin referirse a los óbices, cree la Fiscalía que la Sentencia recurrida, mediante un razonamiento certero y suficientemente explicado, llegó a la conclusión de que la única de las partes que ha incumplido es la vendedora al no otorgar las correspondientes escrituras públicas, mientras que la compradora “habiendo entregado la suma articulada formalmente como préstamo” de los ochocientos millones, no tenía obligación de pagar el resto del precio (2.000 millones) hasta el acto de otorgamiento de las escrituras, el cual no se produjo por causa imputable a la vendedora. Tampoco aprecia lesión del art. 24.1 CE en cuanto al pronunciamiento de cuantificación de los daños, ni por falta de motivación ni por incongruencia extra petita, dado que la actora solicitó la cuantificación en el trámite de réplica con base en el entonces vigente art. 548 LEC 1881. Rechaza finalmente también el motivo subsidiario de defectuosa motivación de la providencia de inadmisión de la nulidad de actuaciones, que considera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otrosí, el escrito de demanda de amparo interesó la suspensión de la ejecución de la Sentencia recurrida en cuanto a la condena al pago de los mil cien millones de pesetas (6.611.133,15 euros), más intereses y costas. Abierta la pieza cautelar de suspensión según providencia de esta Sala Segunda de 16 de febrero de 2012, el Ministerio Fiscal presentó alegaciones por escrito de 29 de febrero de 2012, oponiéndose a lo solicitado al no haberse aportado prueba documental o de otro género respecto de la pérdida de finalidad del recurso si aquel importe se hace efectivo. Por su parte, la representante procesal de la recurrente dedujo escrito el 2 de marzo de 2012, ratificándose en lo pedido. La Sala finalmente dictó el ATC 55/2012, de 26 de marzo, denegando la suspensión por tratarse de una cuestión estrictamente económica, sin aportarse prueba que justifique la excepcionalidad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7 de marzo de 2013, se señaló para deliberación y fallo de la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 Sentencia de la Sala de lo Civil del Tribunal Supremo que, declarando haber lugar al recurso extraordinario por infracción procesal y el subsiguiente de casación interpuestos por la parte actora del proceso, acordó estimar en parte la demanda interpuesta, al considerar erróneas las bases fácticas sobre las cuales tanto el Juzgado como la Audiencia Provincial habían apreciado un incumplimiento recíproco de las obligaciones pactadas por ambas mercantiles (absolviendo ambos a la demandada y dejando a las dos partes en la misma situación anterior al pleito), afirmando en su lugar que la valoración de la prueba documental permite colegir que la compradora sí había cumplido con la obligación de pagar el precio, pues abonó ochocientos millones de pesetas y sólo le restaban dos mil millones que debía entregar en el acto de otorgamiento de escrituras, el cual no se realizó por causa imputable a la vendedora. La Sala condena así a esta última al pago en euros del equivalente a mil cien millones (1.100.000.000) de pesetas por daño emergente.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promotora del presente amparo afirma que el nuevo factum fijado por la Sentencia impugnada en amparo, además de suponer ruptura del criterio tradicional de la Sala Primera del Alto Tribunal de respetar la labor cumplida por los Tribunales inferiores en la valoración de la prueba, adolece de irrazonabilidad y por ende lesiona su derecho fundamental a la tutela judicial efectiva (art. 24.1 CE) en sus vertientes de motivación y derecho a una resolución fundada, al no sustentarse en prueba alguna la imputación de los ochocientos millones como parte del pago del precio de la compraventa, dato que resulta decisivo para articular la solución jurídica del caso, con el perjuicio económico indicado. Se cuestiona también bajo el prisma del art. 24.1 CE la motivación y carácter fundado del pronunciamiento de cuantificación de daños, que se reputa igualmente incongruente extra petita, y se niega la motivación (art. 24.1 CE) de la providencia de inadmisión del incidente de nulidad so pretexto de su carácter instrumental respecto del posterior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Analizaremos los motivos de la demanda de amparo en el orden que propone la entidad recurrente, sin que constituyan impedimento para ello los dos óbices procesales opuestos en su escrito de alegaciones por la representación de Centros Comerciales Carrefour, S.A., al no alcanzar éstos la suficiente consistencia, teniendo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alegado defecto de agotamiento de la vía judicial previa al amparo del art. 44.1 a) de la Ley Orgánica del Tribunal Constitucional (LOTC) en virtud de la interposición de un incidente de nulidad de actuaciones contra la Sentencia del Tribunal Supremo: sí que se cumplían los presupuestos exigidos por la norma reguladora (art. 241.1 de la Ley Orgánica del Poder Judicial: LOPJ) para su procedencia, pues la resolución cuestionada era justamente la última recaída en el proceso, con lo que la parte no había podido denunciar antes la lesión; ésta viene referida a un derecho fundamental protegible en amparo ex art. 53.2 CE y el escrito donde se plantea la queja, en fin, cumple con la carga de identificar la faceta del derecho vulnerado así como los hechos determinantes de la lesión. En tales condiciones, la promoción del incidente resultaba no sólo procedente sino preceptiva, para garantizar la subsidiariedad del recurso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respecto de la justificación del requisito de la especial trascendencia constitucional del recurso [arts. 49.1 y 50.1 b) LOTC], es cierto que la demanda inicia este apartado con consideraciones relativas a los motivos de fondo, lo que devendría insuficiente conforme a doctrina reiterada de este Tribunal que individualiza esta carga de argumentación como algo distinto a razonar sobre la existencia de la vulneración del derecho fundamental (últimamente, STC 107/2012, de 21 de mayo, FJ 2 y las anteriores que ahí se citan). Tampoco basta con referirse a las implicaciones económicas de la decisión adoptada por la resolución recurrida, no al menos si ello se plantea desde la óptica de la gravedad de la lesión, criterio en sí mismo descartado como de especial trascendencia (ATC 29/2011, de 17 de marzo, FJ 3). Eventualmente podría subsumirse en el supuesto del apartado “g” del listado de nuestra STC 155/2009, de 25 de junio, FJ 2, cuando las circunstancias del caso evidencien un grado de relevancia y generalidad de esa repercusión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justificó también la especial trascendencia constitucional en la censura que debía merecer la respuesta de inadmisión al incidente de nulidad de actuaciones del Tribunal Supremo, en cuanto expresiva, dice, de una práctica judicial reiterada que minimiza o desprecia el papel atribuido por el Ordenamiento a los Tribunales ordinarios en la protección de los derechos fundamentales, especialmente tras el reforzamiento de dicho incidente por mor de la disposición final primera de la Ley Orgánica 6/2007, de 24 de mayo. Y así planteado, compete sin duda a este Tribunal fijar doctrina que ataje comportamientos que enerven la eficacia de este mecanismo de tutela judicial, en cuanto en ello va comprometido también el carácter subsidiario del amparo. Con este fin se han dictado las SSTC 43/2010, de 26 de julio, FFJJ 4 y 5 (donde el órgano judicial remitía al interesado a promover un proceso declarativo); 107/2011, de 20 de junio, FJ 5 (inadmisión de plano del incidente para que la tutela se dispensara en amparo) y 153/2012, de 16 de julio, FFJJ 3 a 5 (recurso de amparo promovido únicamente contra la resolución de inadmisión del incidente), declarando en todas ellas la vulneración del art. 24.1 CE. La segunda de las citadas (STC 107/2011) resuelve una queja similar a la aquí planteada, pero precisamente dicha Sentencia todavía no se había dictado ni menos todavía publicado en el “Boletín Oficial del Estado” a la fecha en que se interpuso la presente demanda de amparo, lo que por tanto dotaba de especial trascendencia constitucional a este recurso, a falta en ese momento de una doctrina específica [supuesto a) del listado de la STC 155/2009, de 25 de junio, FJ 2]. Por tanto, no concurre tampoco este óbice.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tres motivos del recurso, como ya se ha sintetizado, plantean la lesión de los derechos a obtener una resolución judicial motivada y jurídicamente fundada, lo que exige atender a la doctrina asentada por este Tribunal en torno al contenido esencial de esta doble vertiente del derecho fundamental a la tutela judicial efectiva (art. 24.1 CE), de la que se hace resumen en la reciente STC 182/2011, de 21 de noviembre, FJ 3, en los siguientes términos: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una muy reiterada y ya consolidada doctrina, recogida en sus inicios en las SSTC 61/1983, de 11 de julio, FJ 3, y 13/1987, de 5 de febrero, FJ 3, y confirmada últimamente en el FJ 4 de la STC 248/2006, de 24 de julio, ha venido declarando que el derecho a la tutela judicial efectiva incluye el derecho a obtener de los órganos judiciales una respuesta razonada, motivada, fundada en Derecho y congruente con las pretensiones oportunamente deducidas por las partes, por cuanto la motivación de las resoluciones judiciales, aparte de venir impuesta en el art. 120.3 CE, es una exigencia derivada del art. 24.1 CE que permite conocer las razones de la decisión que aquéllas contienen y que posibilita su control mediante el sistema de los recursos (entre otras muchas, SSTC 163/2000, de 12 de junio, FJ 3; 187/2000, de 10 de julio, FJ 2; y 214/2000, de 18 de septiembre, FJ 4). La motivación debe contener una fundamentación en Derecho (STC 147/1999, de 4 de agosto,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6; 82/2001, de 26 de marzo, FJ 2; 221/2001, de 31 de octubre, FJ 6; 55/2003, de 24 de marzo, FJ 6; 213/2003, de 1 de diciembre, FJ 4). El art. 24 CE impone entonces, a los órganos judiciales, la obligación de dictar una resolución fundada en Derecho que no puede considerarse cumplida con la mera emisión de una declaración de voluntad en un sentido u otro, sino que debe ser consecuencia de una exégesis racional del ordenamiento, y no fruto de la arbitrariedad (SSTC 61/1983, de 11 de julio; 5/1986, de 21 de enero; 78/1986, de 13 de junio; 116/1986, de 8 de octubre, y 75/1988, de 25 de abril, FJ 3). No basta, pues, con obtener una respuesta motivada, sino que, además, ésta ha tener contenido jurídico y no resultar arbitraria (por todas, SSTC 22/1994, de 27 de enero, FJ 2; 324/1994, de 1 de diciembre, FJ 2; 24/1999, 8 de marzo, FJ 3, y 10/2000, de 17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de referencia ha de conducir a la desestimación del primer motivo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entrada, ha de precisarse que la posibilidad de efectuar una distinta valoración de la prueba no le está vedada a la Sala de lo Civil del Tribunal Supremo, control que ya era posible bien que de manera restringida, según su propia jurisprudencia, en el recurso de casación anterior a la entrada en vigor de la actual Ley de enjuiciamiento civil (LEC) por la vía del error de Derecho en la valoración de la prueba (art. 1692.4 LEC de 1881) y que en lo que aquí importa considerar, sigue siendo posible hoy a través del recurso extraordinario por infracción procesal, ex art. 469.1.4 LEC de 2000, también de manera limitada a los casos de apreciación arbitraria o ilógica de la prueba, infracción de regla de valoración fijada legal o jurisprudencialmente o cuando dicha valoración no supere el test de “racionabilidad” exigible para respetar el derecho fundamental a la tutela judicial efectiva (tal como recogen, entre otras, las SSTS 831/2004, de 14 de julio; 977/2008, de 17 de octubre; 400/2012, de 12 de junio; 532/2012, de 30 de julio; 595/2012 y 616/2012, ambas de 23 de octubre; y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irreprochable el ejercicio de la facultad revisora de los hechos y del Derecho que cumple en el caso la Sala Primera del Tribunal Supremo, ésta, tras una valoración de todos los elementos de prueba obrantes en autos y con aplicación de las normas sustantivas pertinentes, sostiene que la parte compradora había cumplido con las obligaciones que le eran exigibles, mediante el abono de ochocientos millones cuya finalidad última, en interpretación conjunta de todos los pactos suscritos entre las dos entidades, era servir como parte del precio de la compraventa; ello con independencia de que luego ejecutara el aval bancario y los recuperara lo que sólo hizo después de comprobar que la aquí recurrente no iba a cumplir con la entrega del bien inmueble, de modo que los otros dos mil millones de pesetas tampoco le eran exigibles a la compradora al no tener lugar el otorgamiento de escrituras, en cuyo acto debían pagarse. Nada hay en este análisis jurídico, del que deriva en definitiva la conclusión por la Sala Primera del Tribunal Supremo de que la vendedora es la única parte que incumplió sus obligaciones y que por ello tiene la obligación de indemnizar a aquélla en concepto de daños y perjuicios, que pueda considerarse arbitrario ni irrazonable. Desde la función de control externo que nos corresponde desempeñar, no cabe reconocer aquí la lesión del art. 24.1 CE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 suerte desestimatoria han de correr los restantes motivos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lo que concierne a la cuantificación de los daños, tal y como observa el Ministerio Fiscal en su escrito de alegaciones, no existe incongruencia extra petita por el hecho de que se haya fijado el daño emergente en la propia Sentencia, en vez de diferirse a la fase de ejecución como pedía la actora en su escrito de demanda de primera instancia, pues en el proceso de mayor cuantía de la LEC de 1881 por cuyo cauce se sustanció el que aquí nos ocupa, resultaba posible aprovechar el trámite de réplica, ex art. 548 de dicha ley procesal, con el fin de ampliar, adicionar o modificar la pretensión deducida inicialmente siempre que con ello no se alterase el objeto principal, límite respetado por la actora al limitarse a solicitar en el escrito correspondiente que se cuantificaran los daños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hay nada que objetar, desde la perspectiva del derecho a una resolución fundada en Derecho (art. 24.1 CE), al método de cálculo elegido por la Sala ad quem, partiendo de la objetividad de los parámetros que selecciona, deduciendo del importe de la venta del hipermercado realizada indebidamente por la vendedora aquí recurrente a una tercera entidad, el inferior precio pactado a su vez en la compraventa frustrada entre las partes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 la queja por la inadmisión del incidente de nulidad de actuaciones, motivo último y subsidiario de los anteriores de la demanda de amparo, lógico corolario de lo que acaba de exponerse ha de ser también su desestimación. Descartada la lesión del derecho a la tutela judicial efectiva por la Sentencia de casación, el que la Sala del Alto Tribunal diga en su providencia de inadmisión visto el contenido del escrito en el que se plantea el incidente, que lo pretendido por la parte al promover contra ella un incidente de nulidad, era instar una nueva valoración de la prueba —como tal, improcedente—, reafirmando a su vez que la Sentencia dictada aparece fundada en Derecho, son razonamientos que la entidad demandante en amparo podrá no compartir, pero desde luego los mismos no evidencian irrazonabilidad ni falta de motivación. Tampoco, como sostiene la recurrente, un desprecio o desdén hacia la función encomendada por el legislador a los Tribunales de la jurisdicción ordinaria, en este caso al Tribunal Supremo, en la protección de los derechos fundamentales; función reforzada tras la ampliación del ámbito objetivo del incidente de nulidad de actuaciones por la disposición final primera de la Ley Orgánica 6/2007, de 24 de mayo (que modifica el art. 241.1 LOPJ con ese fin), como ha tenido ocasión de referirse este Tribunal Constitucional en las Sentencias reseñadas en el anterior fundamento jurídico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no deriva que toda providencia de inadmisión de un incidente de nulidad, por el mero hecho de serlo, merezca reproche desde la óptica que se predica, debiendo atenderse no sólo al texto de la resolución judicial sino al contenido del escrito por el que dicho incidente se solicita. En este caso y por lo que se ha explicado, no lo merece la providencia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General de Galerías Comerciales,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