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Rosa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5209-2003, interpuesto por el Gobierno de la Junta de Comunidades de Castilla-La Mancha contra la emisión por parte Dirección General de Conservación de la Naturaleza del Ministerio de Medio Ambiente de certificados sobre afección de proyectos a la Red Natura 2000 y en particular los emitidos sobre los siguientes proyectos: a) Modernización de regadíos zona regable de Castrejón M.I. obras primer establecimiento (Toledo); b) Construcción del centro de educación ambiental de Luciana (Ciudad Real); c) Acondicionamiento del río Jabalón y puente en Camino de la Ermita (Ciudad Real); d) Acondicionamiento arroyo Golizo. Término municipal de Riópar (Albacete) y e) Acondicionamiento del Barranco de la Villa. Término municipal de Yeste (Albacete). Ha comparecido y formulado alegaciones el Abogado del Estado.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agosto de 2003 el Letrado de la Junta de Comunidades de Castilla-La Mancha, en la representación que ostenta, promueve conflicto positivo de competencia “respecto de la emisión por parte de la Administración General del Estado (Dirección General de Conservación de la Naturaleza del Ministerio de Medio Ambiente) de certificados sobre afección de proyectos a la Red Natura 2000 y en particular los emitidos sobre los siguientes proyectos: a) Modernización de regadíos zona regable de Castrejón M.I. obras primer establecimiento (Toledo); b) Construcción del centro de educación ambiental de Luciana (Ciudad Real); c) Acondicionamiento del río Jabalón y puente en Camino de la Ermita (Ciudad Real): d) Acondicionamiento arroyo Golizo. Término municipal de Riópar (Albacete); e) Acondicionamiento del barranco de la Villa. Término municipal de Yeste (Albacete).”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demanda de conflicto describiendo el contexto normativo en que se integran dichos certificados. Alude a la Directiva 92/43/CEE, del Consejo, de 21 de mayo, sobre conservación de los hábitats naturales de la fauna y la flora silvestres, que el Real Decreto 1997/1995, de 7 de diciembre, por el que se establecen medidas para contribuir a garantizar la biodiversidad mediante la conservación de los hábitats naturales de la flora y la fauna silvestre, traspone parcialmente. Y precisa a continuación que este Real Decreto atribuye a las Comunidades Autónomas la totalidad de las competencias ejecutivas en materia de zonas especiales de conservación, la elaboración de listas de lugares que pueden ser declarados como tales y la fijación de las medidas de conservación, estableciendo el art. 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 plan o proyecto que, sin tener relación directa con la gestión del lugar o sin ser necesario para la misma, pueda afectar de forma apreciable a los citados lugares, ya sea individualmente o en combinación con otros planes o proyectos, se someterá a una adecuada evaluación de sus repercusiones en el lugar, que se realizará de acuerdo con las normas que sean de aplicación, de acuerdo con lo establecido en la legislación básica estatal y en las normas adicionales de protección dictadas por las Comunidades Autónomas, teniendo en cuenta los objetivos de conservación de dicho lugar. A la vista de las conclusiones de la evaluación de las repercusiones en el lugar y supeditado a lo dispuesto en el apartado 4 de este artículo, las Comunidades Autónomas correspondientes sólo manifestarán su conformidad con dicho plan o proyecto tras haberse asegurado de que no causará perjuicio a la integridad del lugar en cuestión y, si procede, tras haberlo sometido a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expone que los días 22 y 29 de abril de 2003 tuvieron entrada en la Consejería de Agricultura y Medio Ambiente de la Junta de Comunidades de Castilla-La Mancha los cinco certificados de afección a la Red Natura 2000 mencionados en el encabezamiento, acordándose por el Consejo de Gobierno de la Junta de Comunidades de Castilla-La Mancha requerir al Gobierno de España para que cese en la emisión de dicho tipo de certificados, con referencia particular a los recibidos en tales fechas, requerimiento que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una vez delimitados así los hechos relevantes, dedica un primer fundamento jurídico al marco competencial en materia de medio ambiente, que viene definido, por una parte, por el art. 148.1.9 CE, que permite a las Comunidades Autónomas asumir competencias de gestión en materia de protección del medio ambiente y, por otro lado, por el art. 149.1.23 CE, que reserva al Estado la competencia de legislación básica sobre protección del medio ambiente. Por su parte, el art. 32.2 del Estatuto de Autonomía de Castilla-La Mancha atribuye a la Comunidad Autónoma el desarrollo legislativo y la ejecución en materia de espacios naturales protegidos, en tanto que el art. 32.7 le confiere, en el marco de la legislación básica del Estado, las competencias de desarrollo legislativo y la ejecución en materia de protección del medio ambiente y de los ecosistemas, así como la facultad de dictar normas adicionales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fundamento jurídico, a partir del análisis de la regulación de ese tipo de certificados, sostiene que su realización se vincula a la existencia de zonas de especial conservación y a la repercusión que sobre ellas tiene una concreta actuación pública o privada, no teniendo que ver con que el plan o proyecto evaluado sea de un tipo u otro, ni tampoco con que se financie con fondos de la Unión Europea, ya que, en cuanto a esto último, su exigencia alcanza también a aquellos en lo que no intervenga ésta como ente cofinanciador, deduciendo de todo ello que esta actividad pública de control se encuadra en el ámbito de la gestión de la protección medioambiental y no en la competencia sustantiva que habilita para realizar la obra o proyecto. Afirma también este fundamento jurídico que, coherentemente con lo expuesto, el art. 6.3 del Real Decreto 1997/1995 atribuye a las Comunidades Autónomas la expedición de este tipo de certificados.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últimas consideraciones del Letrado autonómico rechazan la identidad entre la técnica de evaluación de impacto ambiental y la de certificación de afección de obras y proyectos a la Red Natura 2000, identidad postulada por el Gobierno de la Nación en la contestación al requerimiento de incompetencia al efecto de mantener que es extensible a este caso la doctrina de la STC 13/1998, de 22 de enero, en la que se afirma que es conforme con el orden constitucional de competencias el que la evaluación de impacto ambiental se confíe, no a la Administración competente en materia ambiental, sino a la propia Administración que lo es para realizar o autorizar el proyecto u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tal identidad, según el Letrado autonómico, pues “la normativa que regula la evaluación de impacto ambiental la contempla para supuestos específicos determinados en sus anexos, previendo un procedimiento particular y un esquema de distribución de competencias propio entre órgano sustantivo y ambiental que la individualizan y caracterizan, sin que sea posible aplicarla por analogía a otros supuestos conceptualmente distintos”. Además, sigue diciendo, “la Directiva 97/71/CE, del Consejo, de 3 de marzo, relativa a la evaluación del impacto de determinados proyectos públicos y privados sobre el medio ambiental …. dispone que la existencia de un criterio de localización relativo a las áreas de especial protección … no implica necesariamente que los proyectos situados en esas áreas tengan que ser automáticamente sometidos a una evaluación de repercusión con arreglo a la presente Directiva”, de donde deduce que ambas fórmulas de control medioambiental difieren porque no siempre proceden en los mismos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conflicto concluye que “los razonamientos expuestos desvirtúan la identidad pretendida entre ambos instrumentos, sin que, por ende, pueda hacerse aplicación directa a la evaluación de repercusión, tal como se pretende de contrario, de la jurisprudencia constitucional dictada en relación a la evaluación de impacto ambiental”. Y, por tanto, con libertad de criterio, el Tribunal tiene que apreciar que, frente a lo afirmado por la Administración del Estado, “la evaluación que debe realizarse en planes y proyectos que afecten a zonas especiales de conservación no deriva del tipo de obra a realizar sino que se trata de una evaluación de incidencia en un espacio designado para el mantenimiento o restablecimiento de un estado de conservación favorable de los hábitats naturales y de las especies silvestres de la fauna y flora de interés comunitario. Se trata, pues, de una medida directamente dirigida a la protección de dichos espacios desde la perspectiva de los valores que dieron lugar a la mencionada declaración, valores apreciados, como recoge el Real Decreto 1997/1995, por las Comunidades Autónomas y que, como consecuencia de los títulos estatutarios a ellos corresponde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le lleva a suplicar que “se … tenga por formulado en tiempo y forma conflicto positivo de competencia frente a la emisión, por parte del Estado, de los expresados certificados de afección de proyectos a la Red Natura 2000, y dicte en su día Sentencia por la que se declare que se ha vulnerado el orden constitucional de competencias y que dicha emisión corresponde a la Comunidad Autónoma de Castilla-La Mancha por así derivar de los arts. 32.2 y 32.7 de su Estatuto de Autonomía en conexión con el art. 148.1.9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por providencia de 16 de septiembre de 2003, acordó admitir a trámite el conflicto positivo de competencia promovido por el Gobierno de la Junta de Comunidades de Castilla-La Mancha, dar traslado de la demanda y documentos presentados al Gobierno de la Nación, por conducto de su Presidente, al objeto de que en plazo de veinte días alegue lo que estime oportuno, comunicar la incoación del conflicto al Decano de los Juzgados Centrales de lo Contencioso-Administrativo, por si ante los mismos estuviera impugnada o se impugnase la certificación objeto de conflicto, en cuyo caso se suspenderá el curso del proceso hasta la decisión del conflicto y publicar la incoación del conflicto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escrito de alegaciones registrado en este Tribunal el día 25 de septiembre de 2003, se opone a la demanda y solicita que se dicte Sentencia declarando ajustada a la Constitución la certificación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primero al reparto competencial entre Estado y Comunidades Autónomas para la protección del medio ambiente. Dice que la STC 102/1995, de 26 de junio, fija, entre otros criterios, que “los recursos naturales son soportes físicos de una pluralidad de actuaciones públicas y privadas en relación a los cuales la Constitución y los Estatutos han atribuido diversas competencias” y dado que “sobre una misma superficie o espacio natural pueden actuar distintas Administraciones públicas para diferentes funciones o competencias, ... resulta inevitable a continuación determinar, en cada caso, el título competencial predominante por su vinculación directa e inmediata, en virtud del principio de especificidad, operando así … mediante la calificación del contenido material de cada precepto y la averiguación de su finalidad”. Y concluye que “en el presente caso el título competencial predominante, tanto por la finalidad inmediata, obtención de financiación, como por la finalidad mediata, realización de una obra, es la competencia sustantiva en cuyo ejercicio consiste la realización del proyecto u obra a realizar, de forma que la emisión de una certificación de evaluación ambiental de la misma, no supone ejercicio de competencias en materia de gestión del medio ambiente, sino de la competencia que justifica el proyecto u obra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otra alegación en la que analiza el art. 6.3 del Real Decreto 1997/1995 y afirma que en su virtud la Dirección General de Conservación de la Naturaleza del Ministerio de Medio Ambiente expidió las certificaciones objeto del conflicto, que contienen una declaración que “se realizó en el ámbito de un procedimiento de solicitud de fondos de cohesión europeos cuya finalidad inmediata es la obtención de la financiación del proyecto y la mediata es la realización de la obra”. No cabe duda, sigue razonando, que “entre la evaluación de impacto ambiental ... y la evaluación de repercusión sobre las zonas protegidas integrantes de la Red ‘Natura 2000’, prevista en el 6.3 Real Decreto 1997/1995, se da una analogía que permite considerar, como tuvo oportunidad de señalar la citada Sentencia 13/1998, de 24 de febrero, que su finalidad es la de facilitar a las autoridades competentes información adecuada que les permita decidir sobre un determinado proyecto con pleno conocimiento de sus posibles impactos significativos en el medio ambiente”. Y a partir de esa consideración, y en aplicación de la doctrina constitucional de la STC 13/1998,  que cita, deduce que “tal declaración no supone ejercicio de competencias ni en materia de medio ambiente ni de espacios naturales protegidos sino de una competencia a la que están anudados el proyecto u obra pública concretos que se pretende ejecutar por la Administración que la tiene atribuida, competencia que no resulta discutida en la demanda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abril de 2013 se señaló para deliberación y votación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Junta de Comunidades de Castilla-La Mancha contra la emisión por la Dirección General de Conservación de la Naturaleza del Ministerio de Medio Ambiente de los cinco certificados de afección de proyectos a la Red Natura 2000 indicados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pretende en el suplico que el Tribunal Constitucional “tenga por formulado en tiempo y forma conflicto positivo de competencia frente a la emisión, por parte del Estado, de los expresados certificados de afección de proyectos a la Red Natura 2000, y dicte en su día Sentencia por la que declare que se ha vulnerado el orden constitucional de competencias y que dicha emisión corresponde a la Comunidad Autónoma de Castilla-La Mancha por así derivar de los arts. 32.2 y 32.7 de su Estatuto de Autonomía en conexión con el art. 148.1.9 CE”. Según su argumentación, la evaluación que debe realizarse en planes y proyectos que afecten a zonas especiales de conservación no deriva del tipo de obra a realizar sino que se trata de una evaluación de incidencia en un espacio designado para el mantenimiento o restablecimiento de un estado de conservación favorable de los hábitats naturales y de las especies silvestres de la fauna y flora de interés comunitario. Se trata, por tanto, de una actuación de carácter eminentemente medioambiental, encuadrándose por ello en las facultades de ejecución en materia de espacios naturales protegidos (art. 32.2 del Estatuto de Autonomía de Castilla-La Mancha: EACM) y en materia de protección ambiental (art. 32.7 EACM) que corresponden a la Junta de Comunidades de Castilla-La Mancha. A su juicio, y coherentemente con lo expuesto, el art. 6.3 Real Decreto 1997/1995, de 7 de diciembre, atribuye a las Comunidades Autónomas la expedición de este tipo de certificados.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defiende la constitucionalidad de la actuación impugnada, por los motivos que se resumen en los antecedentes de esta Sentencia, y rechaza que se vulneren los títulos competenciales alegados por el Letrado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Referidos en su esencia los términos en que las partes plantean este proceso constitucional, y antes de adentrarnos en su resolución, hemos de realizar algunas consideraciones sobre su objeto y sobre la incidencia de las modificaciones normativas acaecidas durante su 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 este proceso constitucional no es, ni tampoco requiere, interpretar el art. 6.3 del Real Decreto 1997/1995, que en lo que aquí interesa es legalidad ordinaria. Primero, porque el suplico dirige el conflicto, no contra ese precepto, sino contra las cinco certificaciones expedidas por la Dirección General de Conservación de la Naturaleza del Ministerio de Medio Ambiente. Segundo, porque la controversia, tal como la plantean las partes, no gira en torno a si la actividad de control en que consisten esas certificaciones queda dentro o fuera de las bases que el Estado puede establecer en la materia protección del medioambiente, entre las cuales eventualmente pudiera contarse el Real Decreto 1997/1995, sino a si la referida actuación se incardina en dicha materia competencial o, por el contrario, en la materia sustantiva que se ejercite con la obra o proyecto que se evalúa con la actuación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requerimiento previo al conflicto, acordado por el Consejo de Gobierno de la Junta de Comunidades de Castilla-La Mancha el día 20 de mayo de 2003, no contenía ninguna mención sobre la invasión de la competencia autonómica que el art. 32.2 de su Estatuto de Autonomía le confiere sobre el desarrollo legislativo y la ejecución en materia de espacios naturales protegidos, vulneración a la que se alude por vez primera en el acuerdo del Consejo de Gobierno de la Junta de Comunidades de Castilla-La Mancha de 29 de julio de 2003 por el que se decide, ante el fracaso del requerimiento previo, interponer el conflicto positivo de competencia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necesaria correlación entre el requerimiento y el conflicto planteado se ha pronunciado este Tribunal en la STC 116/1984, de 4 de diciembre, según la que “los motivos de incompetencia alegados en el escrito de planteamiento deben coincidir, en sustancia, con los formulados en el requerimiento”, añadiendo que, en cambio, tienen menor importancia las divergencias respecto a los preceptos constitucionales o estatutarios invocados. Y la STC 209/1989, de 15 de diciembre, confirmó que “lo sustancial es, pues, el título competencial denunciado y no los preceptos en que el mismo se apoye, toda vez que, como señala la STC 96/1986, de 10 de julio, la finalidad del requerimiento es hacer posible una avenencia entre el órgano requirente y el requerido que evite el ulterior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esta doctrina, no podemos entrar a valorar si ha sido invadida la competencia atribuida a la Junta de Comunidades de Castilla-La Mancha por el art. 32.2 de su Estatuto de Autonomía, pues el requerimiento previo solo se refería al desconocimiento de las competencias de desarrollo legislativo y ejecución en materia de protección del medio ambiente y de los ecosistemas, que es un título distinto, como se desprende de que está amparado en un apartado diferente de dicho art. 32 de su Estatuto de Autonomía. En otras palabras, la divergencia no se ciñe a la mención de un precepto nuevo relativo al mismo título competencial, sino que el apartado 2 del art. 32 de su Estatuto de Autonomía al que la Junta de Comunidades de Castilla-La Mancha no aludió en el requerimiento previo hace entrar en juego un título competencial sobre el que antes nada se había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doctrina constitucional que en los procesos de contenido competencial la pervivencia del objeto depende que haya “cesado o no la controversia competencial, toda vez que poner fin a la misma a la luz del orden constitucional de reparto de competencias es el fin último al que sirven tales procesos” [por todas, STC 149/2012, de 5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del escrito rector de este proceso deja claro, como resulta de la parte de él que ha quedado transcrita en el fundamento jurídico anterior, que el Gobierno autonómico recurrente impugna las cinco certificaciones emitidas por la Dirección General de Conservación de la Naturaleza del Ministerio de Medio Ambiente en la medida que es manifestación de la discrepancia sobre a quién compete expedir las certificaciones sobre afección de los proyectos públicos y privados a los lugares integrados en la Red Natura 2000. Por este motivo, hay que tener en cuenta las modificaciones normativas acaecidas durante la pendencia de este proceso en la regulación estatal de esta materia, pues, aun no imputándose a dicha normativa el exceso competencial, si hubieran introducido cambios sustanciales que evidenciaran que dichas certificaciones serán expedidas por el órgano autonómico competente la controversia competencial habría desaparecido, por lo que el proceso habría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certificaciones a las que la parte recurrente reprocha la extralimitación competencial son aplicación del art. 6 del Real Decreto 1997/1995, de 7 de diciembre, que establece medidas para contribuir a garantizar la biodiversidad mediante la conservación de los hábitats naturales y de la fauna y flora silvestre. Este precepto fue parcialmente modificado por el Real Decreto 1421/2006, de 1 de diciembre, y también tiene incidencia en esta materia la disposición adicional cuarta del Real Decreto Legislativo 1/2008, de 11 de enero, por el que se aprueba el texto refundido de la Ley de evaluación de impacto ambiental de proyectos. En la STC 149/2012, de 5 de julio y en la STC 59/2013, de 13 de marzo, se analizaron detalladamente estas normas y su incidencia en las disputas competenciales allí planteadas, constatándose que la controversia competencial no ha desaparecido, conclusión que es plenamente aplicable a este caso porque, por lo que en este momento interesa, son análogos al promovido en este proceso constitucional por el Consejo de Gobierno de la Junta de Comunidades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en este proceso constitucional tenemos que decidir, por tanto, es si las certificaciones sobre afección de los proyectos públicos y privados a los lugares incluidos en la Red Natura 2000 que se encuentren en el territorio de la Junta de Comunidades de Castilla-La Mancha es una materia inscrita en la competencia sustantiva que se materializa con la obra o actividad cuya incidencia se evalúa o, por el contrario, se encuadra en las competencias en materia de protección ambiental que corresponden a dicha Comunidad Autónoma en virtud del art. 32.7 EACM. No es un problema, pues, de que sobre la materia controvertida concurran dos competencias completamente válidas, la competencia sustantiva del Estado y la autonómica sobre la gestión de la protección ambiental, sino de en cuál de ellas queda comprendida, dado su contenido material y finalidad, la materia disputada, que es concretamente la emisión de los certificados sobre afección de proyectos a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del criterio que habremos de usar para resolver esa controversia ha de tener en cuenta la doctrina constitucional establecida en la STC 149/2012, de 5 de julio, que resuelve un conflicto en gran parte idéntico al que se plantea en este proceso constitucional. En aquella ocasión también se trataba del encuadramiento competencial de las certificaciones sobre afectación a los lugares incluidos en la Red Natura 2000 y la parte recurrente, como ocurre en este caso, oponía frente a la competencia sustantiva del Estado su competencia sobre la gestión de la protección ambiental, sosteniendo que la materia controvertida encontraba en esta última su mejor acomodo.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allí que “de acuerdo con la doctrina de este Tribunal, establecida en la STC 13/1998, de 22 de enero y reiterada en otras posteriores (SSTC 101/2006, de 30 de marzo; 1/2012, de 13 de enero; y 34/2012, de 15 de marzo), es conforme con el orden constitucional de competencias que la normativa confíe la evaluación de impacto ambiental a la propia Administración estatal que realiza o autoriza el proyecto de una obra, instalación o actividad que se encuentra sujeta a su competencia pues, en tales casos, ‘la Administración estatal ejerce sus propias competencias sustantivas sobre la obra, la instalación o la actividad proyectada, aun cuando preceptivamente deba considerar su impacto ambiental’ (STC 13/1998, FJ 8). Así lo pone de manifiesto el ‘que la declaración de impacto ambiental determine la conveniencia o no de realizar el proyecto’ y que, en caso afirmativo, fije las condiciones en que se debe realizar, estando el contenido de la declaración ‘llamado a integrarse en la autorización que concederá el órgano titular de la competencia sustantiva sobre el proyecto’ (STC 13/1998, FJ 7). En definitiva, el Tribunal ha considerado que la evaluación de impacto ambiental es una técnica transversal que condiciona la actuación estatal ‘que se materializa físicamente, produciendo las consiguientes repercusiones en el territorio y en el medio ambiente de una o varias Comunidades Autónomas’ y que no puede caracterizarse como ‘ejecución o gestión en materia de medio ambiente’ porque su finalidad es que todas las Administraciones públicas ‘valoren el medio ambiente cuando ejercen sus competencias sobre cualquiera de las obras, instalaciones u otras actividades de su competencia’; obras, instalaciones y actividades que forman parte de materias que están ‘sometidas por la Constitución y los Estatutos de Autonomía a reglas específicas de reparto de competencias, que son títulos que por su naturaleza y finalidad atraen a la de medio ambiente, cuyo carácter complejo y multidisciplinario afecta a los más variados sectores del ordenamiento’ (STC 13/1998, FJ 8)’.” (STC 149/2012,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a la luz del contexto normativo de las certificaciones que nos ocupan, reconocimos que “[l]a evaluación ambiental de las zonas de especial conservación que prevén tanto la Directiva como la Ley 42/2007, 13 de diciembre, de patrimonio natural y biodiversidad, y el Real Decreto 1997/1995 es, por tanto, una técnica de evaluación diferenciada de la evaluación de impacto ambiental que tiene su propia metodología —aunque, en ocasiones, pueda inspirarse en la de esta última—, así como un objeto y una finalidad más específicos que consiste en el análisis de las repercusiones de planes y proyectos que puedan afectar de forma apreciable a las zonas de especial conservación para preservar su integridad y objetivos de conservación, así como, en general, para garantizar la coherencia de la Red Natura 2000”. Pero que, a pesar de esa diferencia, “la evaluación ambiental de las zonas especiales de conservación es una técnica muy similar a la evaluación de impacto ambiental, pues al igual que ésta tiene por finalidad que las Administraciones públicas valoren la afección al medio ambiente —aunque en este caso, la valoración se limite a la afección a un elemento específico del medio ambiente— cuando hayan de decidir acerca de la autorización o aprobación de un plan o proyecto que puedan afectar de forma apreciable a espacios de la Red Natura 2000. Es decir, se trata de un informe sectorial que determina la conveniencia o no de realizar determinadas obras o actividades desde la perspectiva de sus repercusiones sobre este tipo de espacios. Obras y actividades que —como hemos dicho en relación con la evaluación de impacto ambiental—, están sometidas por la Constitución y los Estatutos de Autonomía a sus propios títulos competenciales. Títulos competenciales que atraen al medioambiental (STC 13/1998, FJ 8) y, por tanto, también a la evaluación ambiental de los planes y proyectos que puedan afectar de forma apreciable a espacios de la Red Natura. Es, por tanto, acorde con la distribución constitucional de competencias que la legislación atribuya a la Administración del Estado la realización de la evaluación ambiental de las zonas especiales de conservación en aquellos casos en los que el plan o proyecto debe ser autorizado o aprobado por ella tras la realización de la correspondiente evaluación de impacto ambiental integrándose, en estos casos, dada su naturaleza sectorial, la evaluación ambiental de la zona especial de conservación —como técnica específica de evaluación— en la más general de la evaluación de impacto ambiental, garantizándose, en todo caso, la consulta —por la vía del informe preceptivo— a las Comunidades Autónomas en cuyo territorio se ubique el proyecto en cuestión.” (STC 149/2012,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cinco certificaciones objeto de conflicto fueron expedidas por la Dirección General de Conservación de la Naturaleza del Ministerio de Medio Ambiente en aplicación del citado art. 6.3 del Real Decreto 1997/1995, que es transcripción literal del art. 6.3 de la Directiva 92/43/CEE. Tienen por objeto valorar las repercusiones sobre cinco lugares de la Red Natura 2000 de sendos proyectos, declarando todas ellas que “no es probable que el proyecto tenga repercusiones significativas sobre lugares incluidos en la Red ‘Natura 2000’.” Dicha declaración se inscribe en el ámbito de un procedimiento de solicitud de fondos de cohesión europeos cuya finalidad inmediata es la obtención de la financiación del proyecto y la mediata es la realización de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descripción de las certificaciones objeto de este conflicto se desprende que el proyecto cuyas repercusiones se examina por la actividad certificadora no tiene como objeto inmediato actuar en la gestión de los lugares de la Red Natura 2000 sino asegurar que una obra de infraestructura, cuya competencia estatal para abordarla nadie ha discutido en este proceso constitucional, incorpore en su realización la consideración de sus efectos respecto de ese tipo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y dada la función instrumental que desempeñan en relación a obras de competencia estatal, hemos de concluir que las certificaciones objeto del conflicto resultan amparadas por la competencia sustantiva estatal de la que es ejercicio el proyecto de infraestructura examinado y, en consecuencia, no suponen una invasión de la competencia ejecutiva que corresponde a la Junta de Comunidades de Castilla-La Mancha en materia de protección ambiental, procediendo por todo ello desestimar este conflicto positivo de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