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7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29 de abril de 2013, ha sido notificada a las partes la STC 103/2013, de 25 del mismo mes y año, recaída en el recurso de inconstitucionalidad núm. 1523-2004, promovido por el Parlamento de Cataluña contra determinados preceptos de la Ley 57/2003, de 16 de diciembre, de medidas para la modernización del gobierno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mayo de 2013, ha tenido entrada en este Tribunal un escrito del Abogado del Estado solicitando aclaración de Sentencia, que versa sobre el alcance del Fallo que declara inconstitucional y nulo, en los términos establecidos en el fundamento jurídico sexto de la Sentencia, el inciso “[e]l Alcalde podrá nombrar como miembros de la Junta de Gobierno Local a personas que no ostenten la condición de concejales, siempre que su número no supere un tercio de sus miembros, excluido el Alcalde”.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necesidad de aclaración, según alega el Abogado del Estado, se refiere a la afirmación contenida en el citado fundamento jurídico, conforme a la cual, “la declaración de nulidad no afecta a las situaciones consolidas no susceptibles de ser revisadas con fundamento en esta sentencia”, esto es, a las situaciones nacidas con anterioridad a la fecha de su publicación. No suscita dudas al Abogado del Estado que los nombramientos de miembros no electos para las Juntas de Gobierno local de los municipios de gran población, así como los acuerdos adoptados por las Juntas de Gobierno compuestas por concejales y miembros no electos no se ven afectados por la declaración de inconstitucionalidad del fallo. Le plantea dudas, sin embargo “si la declaración de inconstitucionalidad incide en los efectos jurídicos de los nombramientos que se produzcan con posterioridad a la publicación de la sentencia”. Esto es, si quienes fueron nombrados miembros no electos de la Junta de Gobierno local antes de la publicación de la Sentencia, pueden seguir ejerciendo sus cargos una vez la Sentencia sea publicada, en cuyo caso la nulidad no se extendería a los actos dictados, tras la publicación de la Sentencia, por una Junta de Gobierno local no constituida íntegramente por concejales.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además, que parece lógico entender que si el nombramiento realizado con anterioridad a la publicación de la sentencia se ha mantenido por el fundamento jurídico 6 de la misma, también quedaría amparado el derecho del cargo público a ejercerlo, una vez publicada la Sentencia, hasta que sea removido del mismo. Por ello suplica que la aclaración de Sentencia se realice, no a partir de las interpretaciones por él alegadas como posibles, sino, precisamente, en el sentido que éste postula en su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de este Tribunal la aclaración de sus Sentencias. La solicitud de aclaración ha sido presentada en el plazo legalmente establecido y por una de las partes procesales. Ahora bien, como hemos expresado en reiteradas ocasiones, la solicitud de aclaración no constituye un medio de impugnación encaminado a la sustitución o revisión de la decisión adoptada, pues contra las Sentencias del Tribunal Constitucional no cabe recurso alguno. Su objeto ha de limitarse, en consecuencia,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(Por todos, ATC 108/2012, de 22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aclaración solicitada excede claramente del objeto de este trámite procesal, pues con ella se pretende la modificación del alcance del fallo en el sentido que el Abogado del Estado considera más “lógico”, esto es, suspendiendo los efectos pro futuro de la declaración de inconstitucionalidad y nulidad hasta que se produzca la revocación del nombramiento o cese de los miembros de la Junta de Gobierno local que no son concejales.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inconstitucionalidad y nulidad diferida en el tiempo no tiene cabida en el fundamento jurídico sexto de la Sentencia que declara la inconstitucionalidad y nulidad de la norma impugnada. Ahora bien, en aplicación del principio de seguridad jurídica, la Sentencia salva las situaciones nacidas con anterioridad a su publicación y por ello, mantiene la composición y también la validez de los acuerdos adoptados por la Junta de Gobierno local formada por miembros no electos, así como los actos dictados por dichos miembros por delegación de la Junta (art. 127.2 de la Ley reguladora de las bases de régimen local) y de su nombramiento pero sólo hasta la publicación de la Sentencia. Los actos que adopte la Junta de Gobierno local a partir de la publicación de la Sentencia y los que se dicten a partir de entonces por delegación en sus miembros, no son, como pretende el Abogado del Estado, situaciones jurídicas preexistentes sino nuevas situaciones jurídicas sobre las que la declaración de inconstitucionalidad y nulidad despliega todos sus efectos tanto en lo relativo a la composición de las juntas de gobiernos locales que han de estar formadas, únicamente, por concejales electos, como en lo relativo a la validez de sus acuerdos, conforme a lo establecido en el fallo y en el fundamento jurídico sexto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