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8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julio de 2012, la Procuradora de los Tribunales doña María Luisa Sánchez Quero, en nombre y representación de Bmc Software Distribution BV, y bajo la dirección de la Letrada doña Ana Martínez Gutiérrez, interpuso demanda de amparo contra Auto en incidente de nulidad de actuaciones frente al anterior de la Sección Primera de la Sala de lo Contencioso-Administrativo del Tribunal Supremo en recurso de casación núm. 99-2011 contra Sentencia dictada por la Sección Segunda de la Sala de igual orden de la Audiencia Nacional en recurso núm. 329-2007.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mayo 2013,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(art. 80), al haber intervenido en instancia anterior, toda vez que formó parte de la Sección Primera de la Sala Tercera del Tribunal Supremo, que dictó el Auto de 24 de mayo de 2012, que ha sido impugnado en el citado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Excmo. Sr. don Juan José González Rivas en el recurso de amparo núm. 4592-2012 y apartarle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