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28 de enero de 2013, la Procuradora de los Tribunales doña María Jesús Rivero Ratón, en nombre y representación de doña Belén Palma Bohorquez, interpuso demanda de amparo contra Auto y Sentencia de la Sección Séptima de la Sala de lo Contencioso-Administrativo del Tribunal Supremo recaído en recurso de casación núm. 5500-2010, contra Sentencia dictada por la Sala de lo Contencioso-Administrativo de la Audiencia Nacional en recurso núm. 8-2009.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15 de abril de 2013, el Magistrado Excmo. Sr. don Juan José González Rivas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500-2013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