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2010, el Procurador de los Tribunales don Ramón María Querol Aragón, en nombre y representación de don Ionel Panait, y bajo la dirección del Letrado don Javier Martínez Ruiz, formalizó recurso de amparo contra la Sentencia de la Sala de lo Penal del Tribunal Supremo de 28 de junio de 2010, recaída en el recurso de casación núm. 10661-2009, interpuesto contra la dictada el 9 de marzo de 2009 por la Sección Primera de la Audiencia Provincial de Burgos en el rollo de sala núm. 106-2007, que había condenado al actor como autor responsable en grado de consumación de un delito de asociación ilícita a la pena de dos años de prisión y multa de dieciocho meses con una cuota diaria de seis euros, con privación de libertad de un día por cada dos cuotas de multa que resultasen impagadas; de un delito continuado de receptación a la pena de un año de prisión; de un delito de robo con fuerza en las cosas a la pena de un año y seis meses de prisión; de un delito de robo con violencia en las personas, a la pena de tres años de prisión; y de un delito de homicidio a la pena de doce años de prisión; en todos los casos con pena de inhabilitación especial para el ejercicio del derecho de sufragio pasivo durante el tiempo de la condena. El Tribunal Supremo estimó parcialmente el recurso interpuesto y absolvió al demandante de los delitos de asociación ilícita y de receptación.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de 5 de abril de 2013 la representación procesal del actor solicitó la suspensión de la pena de prisión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6 de mayo de 2013,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por escrito registrado el 14 de mayo de 2013, presentó alegaciones reiterando su solicitud de suspensión de la pena de prisión en consideración a que la única prueba incriminatoria contra él fue una prueba de ADN obtenida de forma ilegal, por lo que sostiene que está cumpliendo una condena que nunca debiera haber soportado y cuyos efectos se perpetúan durante la tramitación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20 de mayo de 2013, presentó alegaciones en las que, con cita de la doctrina de este Tribunal sobre el particular, interesó que se denegara la suspensión solicitada dado el tiempo total de duración de las penas de prisión impuestas al demandante, la lejanía del tiempo de cumplimiento definitivo y la especial gravedad de los delitos objeto de condena, uno de ellos constitutivo del delito de homicidio, sin que la genérica solicitud de suspensión permita apreciar que concurran en este caso circunstancias excepcionales que justifiquen su concesión. Añade que aunque el recurrente sólo ha interesado la suspensión de la pena de prisión tampoco cabría la del resto de los pronunciamientos de las Sentencias impugnadas por su carácter accesorio.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pieza cautelar consiste en determinar si procede la suspensión de la ejecución de la sentencia recurrida, y para su examen debe tenerse en cuenta que el art. 56.2 de la Ley Orgánica del Tribunal Constitucional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mantenida por este Tribunal subraya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12/2009, de 26 de enero, 1/2010, de 11 de enero, y 18/2011, de 28 de febrero,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12/2009, de 26 de enero, 112/2011, de 18 de julio).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(ATC 44/2012, de 12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en relación con la suspensión de las penas privativas de libertad, este Tribunal ha venido utilizando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(art. 33 del Código penal)” (ATC 44/2012,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considerando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 Este criterio es reiterado en el ATC 185/2012, de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conduce, como solicita el Ministerio Fiscal, a denegar la suspensión interesada en atención a la duración de la pena privativa de libertad impuesta —superior a los dieciséis años de prisión— y a la especial gravedad derivada de la naturaleza de los hechos delictivos y del bien jurídico protegido —entre otros, delito de homicidio—, sin que el tiempo que resta por cumplir, vista la fecha desde la que el demandante se encuentra en prisión provisional según las Sentencias impugnadas (17 de noviembre de 2006), permita conectar la suspensión solicitada con el criterio genérico de la pérdida de eficacia del amparo teniendo en consideración que el plazo de condena pendiente de cumplimiento supera el período de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aun cuando el escrito de 5 de abril de 2013 concreta la petición suspensiva a la ejecución de la pena de prisión, es indudable que tampoco cabría la suspensión del resto de los pronunciamientos al seguir las penas accesorias la misma suerte que la principal (AATC 131/2001, de 22 de mayo, FJ 2; 408/2005, de 21 de noviembre, FJ 2; y 80/2006, de 13 de marzo, FJ 2, entre otros), y por ser susceptibles de reparación los de contenido patrimonial (AATC 101/2012, de 21 de mayo, FJ 2; 126/2010, de 4 de octubre, FJ 2; y 59/2008, de 20 de febrero, FJ 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6811-2010.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