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3 de junio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junio de 2012, la Procuradora de los Tribunales doña Ana Isabel Lobera Argüelles, en nombre y representación de don Rafael Díez Usabiaga, y bajo la dirección del Letrado don Iñigo Iruin Sanz, interpuso recurso de amparo contra la Sentencia de la Sala de lo Penal del Tribunal Supremo de 7 de mayo de 2012, recaída en el recurso de casación núm. 11773/1,1 que estimó parcialmente el recurso interpuesto contra la dictada el 16 de septiembre de 2011 por la Sección Cuarta de la Audiencia Nacional en el rollo de sala núm. 95-2009, que había condenado al actor como responsable en concepto de autor de un delito de pertenencia a organización terrorista, en grado de dirigente, a la pena de diez años de prisión, y modificó la cuantía de la pena privativa de libertad impuesta fijándola en seis años y seis meses como autor de la modalidad básica del delito de pertenencia o integración en organización terrorista prevista en el art. 571.2 del actual Código penal, excluyendo el grado de dirigente.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el recurrente solicitó la suspensión de la ejecución de la Sentencia dictada por la Sala de lo Penal del Tribunal Supremo en lo que respecta a la pena de seis años y seis meses de prisión, accesorias de inhabilitación especial para el ejercicio del derecho de sufragio pasivo e inhabilitación especial para empleo o cargo público, ambas por el tiempo de la condena, alegando la imposibilidad de reparación de los daños que para el derecho a la libertad del recurrente supondría la ejecución de la Sentencia que impediría, de serle otorgado el amparo, el restablecimiento en la integridad de su derecho y haría perder a aquél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6 de mayo de 2013,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21 de mayo de 2013, presentó alegaciones en las que, con cita de la doctrina de este Tribunal sobre el particular, interesó que se denegara la suspensión solicitada dado el tiempo total de duración de la pena de prisión impuesta al demandante, la lejanía del tiempo de cumplimiento definitivo (31 de agosto de 2017) y la trascendencia social del delito objeto de condena, y el estado del proceso constitucional, próximo a su terminación. En cuanto a las penas de inhabilitación especial para el ejercicio del derecho de sufragio pasivo e inhabilitación especial para empleo o cargo público sostiene que procede asimismo la denegación porque las penas accesorias deben seguir la suerte de la pena privativa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demandante de amparo no ha formulado alegaciones en plazo. Mediante escritos presentados en el Registro General de este Tribunal los días 24 y 27 de mayo de 2013 ha formulado una nueva solicitud de suspensión y ha interesado la acumulación de dicha petición a la ya iniciada, solicitando la concesión del plazo de tres días para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pieza cautelar consiste en determinar si procede la suspensión de la ejecución de la Sentencia recurrida, y para su examen debe tenerse en cuenta que el art. 56.2 de la Ley Orgánica del Tribunal Constitucional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mantenida por este Tribunal subraya que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12/2009, de 26 de enero; 1/2010, de 11 de enero, y 18/2011, de 28 de febrero,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12/2009, de 26 de enero; 112/2011, de 18 de julio). En este sentido, 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 (ATC 44/2012, de 12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en relación con la suspensión de las penas privativas de libertad, este Tribunal ha venido utilizando como criterio de ponderación prioritario el de gravedad de la pena, aplicando de forma reiterada “como directriz inicial la de que la pena se sitúe por encima o por debajo de la frontera de los cinco años de prisión (AATC 16/2009, de 26 de enero; 18/2011, de 28 de febrero, FJ 2 y 61/2013, de 27 de febrero, FJ 2), que es la que le sirve al legislador penal para diferenciar entre las penas graves y las menos graves (art. 33 del Código penal)” (ATC 44/2012,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este criterio, el Tribunal ha venido considerando otras circunstancias relevantes, tales como,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(por todos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 Este criterio es reiterado en el ATC 185/2012, de 15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conduce, como solicita el Ministerio Fiscal, a denegar la suspensión interesada en atención a la duración de la pena privativa de libertad impuesta —seis años y seis meses de prisión—, que se halla por encima del citado margen de gravedad con el que, como regla general, opera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en anteriores pronunciamientos hemos venido manejando estos mismos criterios en cuanto a delitos relacionados con esta materia, en supuestos en los que se ha denegado la suspensión cuando faltaban por cumplir periodos inferiores, como en el caso del ATC 334/2004, de 13 de septiembre, en el que faltaban por cumplir dos años, por lo que no existen razones justificativas que alteren el criterio consolidado de la doctrina de este Tribunal en situaciones similares a la aquí contemplada.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es notorio que tampoco cabe acordar la suspensión del resto de los pronunciamientos de las resoluciones impugnadas al seguir las penas accesorias la misma suerte que la principal (AATC 131/2001, de 22 de mayo, FJ 2; 408/2005, de 21 de noviembre, FJ 2; y 80/2006, de 13 de marzo, FJ 2, entre otros), y por ser susceptibles de reparación los de contenido patrimonial (AATC 101/2012, de 21 de mayo, FJ 2; 126/2010, de 4 de octubre, FJ 2; y 59/2008, de 20 de febrero, FJ 2,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no procede acceder a la petición de acumulación de la nueva solicitud de suspensión a la solicitud que da lugar a este Auto, ni a la de conceder el plazo de tres días para alegaciones, teniendo en consideración que el régimen legal de las acumulaciones en los procesos ante el Tribunal Constitucional está regido en exclusiva por su Ley Orgánica y, en concreto, por su art. 83, sin que esta materia se incluya entre aquéllas en las que el art. 80 LOTC llama a la aplicación supletoria de la Ley Orgánica del Poder Judicial y la Ley de enjuiciamiento civil. Y que el art. 83 citado solo regula “la acumulación de aquellos procesos con objetos conexos que justifiquen la unidad de tramitación y decisión”, lo que no puede confundirse con la acumulación de incidentes distintos de un mismo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3794-2012.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