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4 de junio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29 de enero de 2013, se dedujo recurso de amparo frente a la Sentencia de 28 de septiembre de 2012, dictada por Sección Primera de la Sala de lo Contencioso-Administrativo del Tribunal Superior de Justicia de Madrid recaída en recurso núm. 1014-2012, contra resolución dictada por la Dirección general de policía y guardia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 17 de abril de 2013, se inadmitió la demanda de amparo por extemporaneidad a causa de haberse notificado la Sentencia en fecha 16 de octubre de 2012 a quien actuó como representante procesal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20 de mayo de 2013, el Ministerio Fiscal presentó recurso de súplica frente a la providencia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el Ministerio público que la Sentencia que se pretende recurrir fue puesta en comunicación de la Letrada del recurrente, pero dicha notificación carece de eficacia por ser preceptiva la representación por Procurador en el proceso. Por tanto, como quiera que la recurrente tuvo conocimiento de la Sentencia en fecha 22 de enero de 2013 a través de su Letrada, según consta en la copia del correo electrónico aportado por la recurrente, el recurso está interpuesto en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22 de mayo de 2013, la Sección Primera del Tribunal Constitucional tuvo por recibido el recurso del Ministerio Fiscal y, de conformidad con el art. 50.3 de la Ley Orgánica del Tribunal Constitucional, acordó dar traslado a la recurrente por el plazo de tres días para que alegara lo que estimara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mediante escrito de 30 de mayo de 2013, se adhirió al recurso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súplica sostiene el Ministerio Fiscal que la demanda de amparo fue presentada en plazo, puesto que la notificación realizada a la Letrada de la recurrente no fue eficaz al tratarse de un proceso donde era preceptiva la intervención de Procurador.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a las notificaciones realizadas al representante procesal y el cómputo del dies a quo del plazo de interposición del amparo, hemos afirmado que la notificación hecha al representante procesal de la parte surte plenos efectos y determina la fecha de inicio del cómputo del plazo para la interposición del recurso de amparo, con independencia de la existencia o no de notificación personal al interesado y del momento en que ésta se produzca (por todas, SSTC 159/1998, de 13 de julio, FJ único; 162/1999, de 27 de septiembre, FJ 1; y 69/2004, de 29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la recurrente había interpuesto el recurso contencioso-administrativo en su propio nombre y había designado como domicilio para notificaciones el de la Letrada que le asistía, quien materialmente actuó como representante procesal de la parte, practicándose la notificación en el domicilio designado en fecha 16 de octubre de 2012, según consta en la certificación remitida.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ello, no puede alegarse ahora que dicha notificación es ineficaz con motivo de que era preceptiva la intervención de Procurador conforme al artículo 23 de la Ley reguladora de la jurisdicción contencioso-administrativa, por cuanto que la demandante había interpuesto el recurso en su propio nombre con asistencia letrada y designado un domicilio para la práctica de notificaciones —el de su Letrada— donde el órgano jurisdiccional practicó las comunicaciones, que fueron eficaces en todo el curso del proceso, por lo que resulta contrario a los propios actos alegar ahora que no lo ha sido para la notificación de la Sentencia. En este sentido, la falta de intervención del Procurador no afecta a la regularidad de las comunicaciones practicadas, que fueron realizadas correctamente por el órgano jurisdiccional, y el hecho de que por parte de éste no se advirtiera la falta de postulación no coloca a la interesada en una situación de indefensión, puesto que la Letrada actuó como representante procesal de la parte y la Sentencia se comunicó en el domicilio que se había designado.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tanto, de conformidad a lo dispuesto en el artículo 50.1 a) en relación con el artículo 44.2 de la Ley Orgánica del Tribunal Constitucional, debe desestimarse el recurso de súplica interpuesto, al haberse notificado válidamente la Sentencia en fecha 16 de octubre de 2012 y haberse interpuesto el recurso extemporáneamente el día 29 de enero de 2013.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17 de abril de 2013.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