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septiembre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18 de abril de 2012, la Procuradora de los Tribunales doña Matilde Marín Pérez, en nombre y representación de don Arthur Steiger, interpuso demanda de amparo contra Auto y Sentencia de la Sección Cuarta de la Sala de lo Contencioso-Administrativo del Tribunal Supremo en recurso de casación 6020-2008 contra Sentencia de la Sección Primera del Tribunal Superior de Justicia de Canarias recurso 571-2005.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17 de julio de 2013, el Magistrado Excmo. Sr. don Santiago Martínez-Vares García manifestó su voluntad de abstenerse en el presente recurso de amparo y todas sus incidencias, por entender que concurría la causa establecida en el art. 219.11 de la Ley Orgánica del Poder Judicial, supletoria de la Ley Orgánica 2/1979 (art. 80), al haber intervenido en instancia anterior en su condición de Magistrado de la Sala de lo Contencioso-Administrativo del Tribunal Supremo que dictó la resolución recurrida.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Santiago Martínez-Vares García,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Santiago Martínez-Vares García en el recurso de amparo núm. 2261-2012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nueve de septiembre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