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174</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9 de septiembre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5 de marzo de 2013, el Procurador de los Tribunales don Jaime Briones Méndez, actuando en nombre y representación de don Lluis Corominas Padullés, interpuso recurso de amparo constitucional contra la Sentencia de la Sala de lo Penal del Tribunal Supremo recaída el 28 de noviembre de 2012 que desestimó el recurso de casación núm. 913-2012 interpuesto contra la Sentencia de la Sala de lo Civil y Penal del Tribunal Superior de Justicia de Cataluña de 19 de marzo de 2012, dictada en el rollo de apelación núm. 29-2012, que anula la Sentencia de la Audiencia Provincial de Barcelona recaída el 21 de junio de 2011 en el procedimiento de jurado núm. 20-2011 (en la que se declaró no culpable al recurrente del delito de homicidio de que era acusado, al apreciar la circunstancia eximente completa de legítima defensa), ordenándose la celebración de un nuevo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en la misma demanda de amparo se solicitó de este Tribunal la suspensión de las resoluciones judiciales impugnadas, conforme al art. 56.6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 de junio de 2013 la Sala Segunda de este Tribunal acordó la admisión a trámite de la demanda de amparo, así como, por apreciar las condiciones a que se refiere el art. 56.2 LOTC, suspender la ejecución de las resoluciones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otra providencia de la misma fecha, la Sala acordó abrir pieza separada y conceder un plazo de diez días al Ministerio Fiscal y demás partes personadas para que efectuasen alegaciones respecto al mantenimiento de la medida cautelar de suspensión acordada en la indicada primera providencia de 3 de junio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el 11 de junio de 2013 la representación procesal del demandante de amparo pidió el mantenimiento de la medida cautelar adoptada, a fin de que el recurso de amparo no pierda su finalidad. Argumenta que la celebración del nuevo juicio, sin esperar al pronunciamiento de este Tribunal Constitucional, supondría un claro riesgo de perjuicio de imposible o muy difícil reparación, sometiendo al recurrente a un innecesario segundo juicio oral por idénticos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19 de junio de 2013 el Ministerio Fiscal informó favorablemente el mantenimiento de la medida de suspensión acordada, en atención a que el levantamiento de la suspensión supondría, en este caso, la continuación del proceso penal con la celebración de un nuevo juicio oral ante un tribunal de jurado con distinta composición, nuevo enjuiciamiento que, en sí mismo, significa un nuevo riesgo para 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56.6 de la Ley Orgánica del Tribunal Constitucional (LOTC) atribuye a las Salas y Secciones de este Tribunal la facultad de adoptar, en la propia resolución de admisión a trámite de los recursos de amparo, medidas cautelares inaudita parte, en supuestos de urgencia excepcional. En el ejercicio de tal facultad, mediante la providencia de 3 de junio de 2013 se acordó suspender la ejecución de la Sentencia de la Sala de lo Penal del Tribunal Supremo recaída el 28 de noviembre de 2012 en el recurso de casación núm. 913-2012 interpuesto contra la Sentencia de la Sala de lo Civil y Penal del Tribunal Superior de Justicia de Cataluña de 19 de marzo de 2012, que anuló la Sentencia de la Audiencia Provincial de Barcelona recaída el 21 de junio de 2011 en el procedimiento de jurado núm. 20-2011 (en la que se declaró no culpable al recurrente del delito de homicidio de que era acusado, al apreciar la circunstancia eximente completa de legítima defensa), ordenándose la celebración de un nuevo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Reiteradamente hemos entendido que la concurrencia de una urgencia excepcional que autorice a este Tribunal a adoptar medidas cautelares sin oír a las partes y a hacerlo sin consignar motivación —al acordarse en la propia providencia de admisión a trámite del recurso de amparo— obliga a dictar una nueva resolución motivada en la que, tras oír a las partes, se expresen las razones que lleven al Tribunal a mantener, modificar o levantar la medida inicialmente acordada, tal y como venimos haciendo desde el ATC 213/2009, de 9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Habiéndose oído ya a las partes, con el resultado que consta en los antecedentes de esta resolución, debemos recordar que la facultad de este Tribunal Constitucional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en cualquier otro supuesto, son diversos los intereses que en este caso deben ser valorados para determinar la procedencia o no del mantenimiento de la suspensión de las resoluciones contra las que se ha promovido el recurso de amparo. De un lado, este Tribunal viene considerando que cuando el recurso se dirige contra resoluciones judiciales, lo más acorde con el interés general es su cumplimiento, que dota de efectividad a la tutela judicial (art. 24.1 CE) del litigante que obtuvo un pronunciamiento favorable a sus pretensiones. Como contrapeso, nuestro sistema de justicia constitucional configura la posibilidad de que se suspenda la ejecución de las resoluciones judiciales por razón de las cuales se reclame el amparo, cuando se acredite suficientemente la irreparabilidad del perjuicio que pudiera traer consigo la ejecución de la resolución impugnada, privando al amparo de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en atención a las circunstancias concurrentes en el presente caso debemos apreciar, como ya hiciéramos en similares ocasiones, dimanantes también de procedimientos de jurado (AATC 103/2001, de 3 de mayo; 170/2001, de 22 de junio; 277/2001, de 29 de octubre; y 311/2001, de 18 de diciembre), que la suspensión se presenta como el medio adecuado para mantener el procedimiento penal en una situación que permita, cuando proceda, dar respuesta con plena eficacia a las diferentes denuncias de conculcación de sus derechos fundamentales formuladas por el recurrente en el proceso constitucional, pues de otro modo la eventual estimación del recurso de amparo quedaría privada de efectividad en la medida en que con el mismo se trata de impedir la repetición del juicio oral del que trae causa este proceso constitucional. En este sentido, la celebración de un nuevo juicio oral devendría en un perjuicio irreparable ya si, finalmente, se apreciara la infracción constitucional denunciada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no se aprecia que la suspensión puede afectar, perturbándolos gravemente, a intereses constitucionalmente protegidos o a derechos fundamentales o libertades públicas de terceras personas.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medida cautelar de suspensión acordada en la presente pieza por la providencia de 3 de junio de 2013.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septiembre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