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11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diciembre de 2012, el Procurador de los Tribunales don Francisco García Crespo, en nombre y representación de Promociones San Fernando, S.A., interpuso demanda de amparo contra la Sentencia de fecha 13 de septiembre de 2011, dictada por la Sección Octava de la Audiencia Provincial de Sevilla recaída en rollo de apelación núm. 3974-2011 que se confirmó por Auto del Tribunal Supremo de 30 de octubre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julio 2013, el Magistrado Excmo. Sr. don Juan Antonio Xiol Rios manifestó su voluntad de abstenerse en el presente recurso de amparo y todas sus incidencias, por entender que concurría la causa establecida en el art. 219.11 de la Ley Orgánica del Poder Judicial, supletoria de la Ley Orgánica 2/1979 (art. 80), al haber intervenido en instancia anterior en su condición de Magistrado de la Sala Primera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Rios,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Antonio Xiol Rios en el recurso de amparo núm. 7145-2012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