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18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31 de mayo de 2013 de la Sala de lo Penal del Tribunal Supremo recaída en recurso de casación 11091-2012 interpuesto contra la Sentencia de 31 de julio de 2012 dictada por la Sección Segunda de la Sala de lo Penal de la Audiencia Nacional en el rollo de sala núm. 30-2003 dimanante del Sumario núm. 12-2003, procedente del Juzgado Central de Instrucción núm. 2,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septiembre de 2013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la Sentencia de 31 de julio de 2012 de la que trae causa la resolución impugnada en el presente recurso de amparo núm. 4926-2013.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el art.219.11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la Sentencia de 31 de julio de 2012, en el rollo de sala 30-2003 dimanante del sumario 12-2003 de la que trae causa la resolución impugnada en el presente recurso de amparo 4926-2013.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4926-2013,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