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10 de noviembre  de 2011 dictado por la Sección Primera de la Sala de lo Contencioso-Administrativo del Tribunal Supremo en recurso de casación núm. 3466-2010 interpuesto contra la Sentencia dictada el 8 de marzo de 2010 por la Sección Séptima de la Sala de lo Contencioso-Administrativo de la Audiencia Nacional en el recurso núm. 377-2008.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10 de noviembre de 2011, resolución impugnada en el presente recurso de amparo núm. 2246-2012.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10 de noviembre de 2011 en el recurso de casación núm. 3466-2010,  que ha sido impugnado en el presente recurso de amparo núm. 2246-2012.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2246-2012,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