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10 de noviembre  de 2011 dictado por la Sección Primera de la Sala de lo Contencioso-Administrativo del Tribunal Supremo en recurso de casación núm. 1179-2011 interpuesto contra la Sentencia dictada por la Sección Séptima de la Sala de lo Contencioso-Administrativo de la Audiencia Nacional en el recurso núm. 193-2009.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18 de septiembre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10 de noviembre de 2011, resolución impugnada en el presente recurso de amparo núm. 3315-2012.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10 de noviembre de 2011 en el recurso de casación núm. 1179-2011, que ha sido impugnado en el presente recurso de amparo núm. 3315-2012.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3315-2012,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