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12 de julio de 2012 dictado por la Sección Primera de la Sala de lo Contencioso-Administrativo del Tribunal Supremo en recurso de casación núm. 6519-2011 interpuesto contra la Sentencia dictada el 10 de noviembre de 2011 por la Sección Segunda de la Sala de lo Contencioso-Administrativo de la Audiencia Nacional en el recurso núm. 408-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2 de julio de 2012, resolución impugnada en el presente recurso de amparo núm. 112-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2 de julio de 2012 en el recurso de casación núm. 6519-2011, que ha sido impugnado en el presente recurso de amparo núm. 112-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112-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