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8 de marzo de 2012 de la Sección Primera de la Sala de lo Contencioso-Administrativo del Tribunal Supremo recaído en recurso de casación 5537-2011 interpuesto contra la Sentencia de 3 de noviembre de 2010 dictada por la Sección Segunda de la Sala de lo Contencioso-Administrativo del Tribunal Superior de Justicia de Canarias en el procedimiento ordinario 50-2009.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8 de marzo de 2012, resolución impugnada en el presente recurso de amparo núm. 5927-2012.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8 de marzo de 2012, en el recurso de casación núm. 5537-2011 que ha sido impugnado en el presente recurso de amparo 5927-2012.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5927-2012,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