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24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la Sentencia de 9 de febrero de 2012 dictada por la Sección Primera de la Sala de lo Contencioso-Administrativo del Tribunal Supremo en recurso de revisión núm. 33-2010, interpuesto contra la Sentencia de 23 de octubre de 2009 dictada por la Sección Segunda de la Sala de lo Contencioso-Administrativo del Tribunal Superior de Justicia de Castilla y León en el recurso 109-2009.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23 de septiembre de 2013,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la Sentencia de 9 de febrero de 2012, resolución impugnada en el presente recurso de amparo núm. 5764-2012.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la Sentencia de 9 de febrero de 2012 en el recurso de revisión núm. 33-2010, que ha sido impugnada en el presente recurso de amparo núm. 5764-2012.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5764-2012,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