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8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enero de 2013, el Procurador de los Tribunales don Alejandro González Salinas, en nombre y representación de la asociación de padres de alumnos Torrevelo, del colegio homónimo, con la asistencia del Letrado don Valeriano Hernández-Tavera Martín, interpuso demanda de amparo contra las resoluciones de la Consejería de Educación y del Consejo de Gobierno de Cantabria de 14 de abril y 13 de agosto de 2009; contra la Sentencia de 22 de junio de 2011 de la Sección Primera de la Sala de lo Contencioso-Administrativo del Tribunal Superior de Justicia de Cantabria, dictada en el procedimiento ordinario núm. 545-2009; y contra la Sentencia y el Auto dictados el 23 de julio y el 29 de noviembre de 2012, respectivamente, por la Sección Cuarta de la Sala de lo Contencioso-Administrativo del Tribunal Supremo en el recurso de casación núm. 4591-2011.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del Tribunal Constitucional, por providencia de 6 de mayo de 2013, acordó admitir la demanda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18 de septiembre de 2013 el Magistrado don Santiago Martínez-Vares García comunicó su voluntad de abstenerse en el conocimiento del presente recurso de amparo por entender que concurría la causa 11 del art. 219 de la Ley Orgánica del Poder Judicial, en relación con el art. 80 de la Ley Orgánica del Tribunal Constitucional (LOTC), por haber formado parte, en su condición de Magistrado de la Sala de lo Contencioso-Administrativo del Tribunal Supremo, de la Sala y Sección que resolvió el recurso de casación núm. 4591-2011, en que se dictaron la Sentencia de 23 de julio y el Auto de 29 de noviembre de 2012, resoluciones judiciales impugnadas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por providencia de 24 de septiembre de 2013, conforme a lo establecido en el art. 10 n) LOTC, a propuesta de tres Magistrados, acordó recabar para sí el conocimiento del presente recurso de amparo. En la adopción de esta decisión no tomó parte el Magistrado don Santiago Martínez-Vares García, de acuerdo con lo manifestado en el referido escrito por el que comunicaba su voluntad de abstenerse.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Santiago Martínez-Vares García, en virtud de lo previsto en los arts. 80 de la Ley Orgánica del Tribunal Constitucional y 221.4 de la Ley Orgánica del Poder Judicial, se estima justificada la causa de abstención formulada, puesto que el mencionado Magistrado, en atención a haber formado parte del órgano judicial que resolvió el recurso de casación mediante Sentencia impugnada en este recurso de amparo —así como el posterior incidente de nulidad promovido contra dicha Sentencia y resuelto por Auto igualmente impugnado en este recurso de amparo— está incurso en la causa 11 del art. 219 de la Ley Orgánica del Poder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Santiago Martínez-Vares García en el recurso de amparo avocado núm. 210-2013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