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229</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16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abril de 2013, el Procurador de los Tribunales don Fernando Pérez Cruz, en nombre y representación de don Klaus Peter Schaak, y bajo la asistencia del Letrado don Antonio Pascual López, interpuso demanda de amparo contra el Auto de la Sala de lo Civil del Tribunal Supremo de 13 de noviembre de 2012, por el que se inadmite el recurso de casación núm. 404-2012, interpuesto contra la Sentencia de la Sección Novena de la Audiencia Provincial de Alicante de 2 de diciembre de 2011, dictada en el rollo de apelación núm. 284-2011, dando lugar al recurso de amparo núm. 2515-2013, sobre cuya admisibilidad debe conocer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4 de octubre de 2013 el Magistrado don Juan Antonio Xiol Ríos comunicó su voluntad de abstenerse en el conocimiento del presente recurso de amparo por entender que concurría la causa 11 del art. 219 de la Ley Orgánica del Poder Judicial (LOPJ),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 la abstención formulada por el Magistrado don Juan Antonio Xiol Ríos en el recurso de amparo núm. 2515-2013 y apartarle definitivamente del conocimiento del referido recurso y de todas sus incidencias.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