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providencia y Sentencia dictadas por la Sección Primera de la Sala de lo Contencioso-Administrativo del Tribunal Supremo en recurso de casación núm. 1370-2011 interpuesto contra la Sentencia de 19 de enero de 2011 dictada por la Sección Segunda de la Sala de lo Contencioso-Administrativo de la Audiencia Nacional en el recurso 10-2008.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16 de octubre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9 de febrero de 2012, resolución impugnada en el presente recurso de amparo núm. 5479-2012.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Sala del Tribunal Constitucional, la Segunda,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9 de febrero de 2012 en el recurso de casación núm. 1370-2011, que ha sido impugnado en el presente recurso de amparo núm. 5479-2012.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5479-2012,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