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2013, la Procuradora de los Tribunales doña Carmen Echevarría Terrosa, en nombre y representación de doña María del Carmen Pardo Pérez, interpuso demanda de amparo contra el Auto de la Sala de lo Civil del Tribunal Supremo de 9 de abril de 2013, por el que se inadmite el recurso de casación núm. 1593-2012, interpuesto contra la Sentencia de la Sección Tercera de la Audiencia Provincial de Valladolid de 24 de abril de 2012, dictada en el rollo de apelación núm. 560-2011, dando lugar al recurso de amparo núm. 2971-2013,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14 de octubre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2971-2013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