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diciembre de 2011, el Procurador de los Tribunales don Emilio Martínez Benítez, en nombre y representación de don Juan José Panadero Ruiz, defendido por la Letrada doña Adriana de Ruiter, interpuso demanda de amparo contra la Sentencia de 11 de abril de 2011 y el Auto de 18 de octubre de 2011 del Juzgado de Primera Instancia núm. 5 de Navalcarnero, dictados en procedimiento verbal de desahucio núm. 12-2011.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denuncia en su demanda que la citación y emplazamiento al proceso se intentó una sola vez y en una dirección errónea, sin que el órgano judicial comprobara la existencia de otros domicilios que figuraban en las actuaciones ni practicara en ellos la diligencia correspondiente, acudiendo a la vía edictal pese a que era posible aún la citación personal, con lo que provocó el que el denunciante no tuviera conocimiento del proceso hasta la fecha del lanzamiento de la vivienda arrendada.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la suspensión parcial de la ejecución de la Sentencia de 11 de abril de 2011, puesto que, además de declarar resuelto el contrato de arrendamiento, el pronunciamiento judicial condena al recurrente al pago de 5.330 euros, más el interés legal, así como al abono de las costas procesales. Alude a los serios daños que le ha causado a nivel personal ser desahuciado de la vivienda arrendada donde residía con su familia, y subraya que ese menoscabo se incrementaría si se diera ejecución a la Sentencia en cuanto a la reclamación de cantidades, pues en tal circunstancia estaría obligado a pedir un crédito a una entidad financiera empeorando la situación económica que el lanzamiento de la vivienda le ha ocasionado.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9 de septiembre de 2013, una vez admitido a trámite el recurso de amparo, la Sala Segunda de este Tribunal acordó formar la correspondiente pieza separada para la tramitación del incidente de suspensión y, conforme a lo dispuesto en el art. 56 de la Ley Orgánica del Tribunal Constitucional, concedió un plazo común de tres días a la parte recurrente y al Ministerio Fiscal para que alegaran lo que estimasen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17 de septiembre de 2013 la parte recurrente reiteró la solicitud de suspensión parcial de la ejecución de la Sentencia del 11 de abril de 2011, en la parte aún posible, esto es, en cuanto al importe de la condena pecuniaria (5.330 €, en concepto de rentas debidas e impagadas, más el interés legal y la condena en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 de octubre de 2013, el Ministerio Fiscal presentó su escrito de alegaciones. Aduce que el demandante de amparo se ha limitado a solicitar la suspensión del pronunciamiento por el cual se le condena al pago de cantidad, alegando su carácter elevado y la imposibilidad de hacer frente a su abono. Sin embargo, interesa la denegación de la solicitud ya que no se ofrece la más mínima acreditación o justificación de la irreparabilidad del daño que le causaría el cumplimiento.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original del art. 56 LOTC y confirmada en relación con la hoy vigente,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Ley Orgánica del Tribunal Constitucional se configura como una medida provisional de carácter excepcional y de aplicación restrictiva, siendo la regla general la improcedencia de la suspensión de las resoluciones de los poderes públicos y, en particular, las judiciales, salvo en los casos en que se acredite de forma fehaciente tanto el carácter irreparable del perjuicio para los derechos fundamentales como la pérdida de la finalidad del amparo en caso de mantenerse la ejecución de la resolución. Resulta, en definitiva, que la protección del interés general que subyace a la ejecución de lo juzgado debe ceder en aquellos supuestos en los que, de no acordarse la suspensión, el amparo perdería toda finalidad, lo que explica que, en principio, sólo proceda suspender aquellos pronunciamientos judiciales que no admiten la reparación o la restitución íntegra de lo ejecutado (por todos, ATC 199/2010, de 21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con relación a los perjuicios de carácter patrimonial o económico, recordábamos por ejemplo en el ATC 176/2012, de 1 de octubre, que “por más que puedan producir efectos desfavorables a quien solicita amparo, no pueden considerarse, en principio,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82/2000, de 13 de marzo, FJ 2; 165/2003, de 19 de mayo, FJ 2; 357/2006, de 9 de octubre, FJ 2; 118/2008, de 28 de abril, FJ 2; y 3/2011, de 14 de febrero, FJ 1, por todos). 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de la ejecución de la resolución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como con acierto afirma el Ministerio Fiscal, en el caso que nos ocupa no concurre ninguna de las circunstancias expuestas para acordar la suspensión interesada, toda vez que el recurrente no acredita la irreparabilidad de los perjuicios económicos que afirma que le ocasionaría la ejecución de la Sentencia recurrida, limitándose a realizar alegaciones genéricas, que no documenta ni prueba, por lo que no puede concluirse que la ejecución de la resolución recurrida haría perder al recurso de amparo su finalidad en caso de que finalmente fuese otorgado.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6919-2011.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