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4 de noviembre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3769-2012, promovido por don Abdelilah Ghailan, representado por el Procurador de los Tribunales don José Manuel Merino Bravo y asistido por el Abogado don Francisco Javier Rubio Gil, contra la Sentencia del Tribunal Superior de Justicia de Madrid, Sala de lo Contencioso-Administrativo, Sección Segunda, número de recurso 1077-2011, de fecha 8 de marzo de 2012, desestimatoria del recurso de apelación interpuesto por aquél contra el Auto del Juzgado de lo Contencioso-Administrativo núm. 30 de Madrid de fecha 20 de abril de 2011, en procedimiento de entrada en domicilio núm. 19-2010, que autorizó la entrada en el domicilio del recurrente y de doña Fátima Zohra Alami Wahbi, solicitada por el Letrado del Ayuntamiento de Madrid en nombre y representación de éste, para proceder a su desalojo y demolición, acordada por resolución municipal de 23 de junio de 2005. Ha sido parte el Ayuntamiento de Madrid, bajo la dirección de la Letrada doña Beatriz Jiménez Rodríguez. Ha intervenido el Ministerio Fiscal.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20 de junio de 2012, el Procurador de los Tribunales don José Manuel Merino Bravo, en nombre y representación de don Abdelilah Ghailan, y bajo la dirección del Letrado don Francisco Javier Rubio Gil, interpuso demanda de amparo contra la resolución que se menciona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Madrid, tras la correspondiente denuncia efectuada por miembros de la Policía Municipal de Madrid, dictó orden de demolición de 23 de junio de 2005 relativa a la construcción que constituye el domicilio de quien hoy es recurrente en amparo, situada en la cañada real Galiana núm. 40, puerta A, del distrito de Vicálvaro. En ese domicilio vivían el recurrente, su esposa y los dos hijos de ambos. La orden de demolición se fundamenta en que se trata de una construcción ilegal en suelo no urbanizable, al establecerse sobre vía pecuaria y al no haberse ejecutado de forma voluntaria, el Ayuntamiento de Madrid dictó orden de ejecución subsidiaria el 29 de noviembre de 2006, procediendo a la demolición de la construcción el 18 de octubre de 2007, tras haber solicitado y obtenido del Juzgado de lo Contencioso-Administrativo núm. 7 de Madrid, autorización judicial de entrada en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en amparo procedió a reconstruir su vivienda en idéntico emplazamiento, cuya construcción estaba finalizada el 20 de octubre de 2007, como consta en denuncia de dicha fecha de la policía municipal de Madrid, por lo que el Ayuntamiento, sin abrir nuevo expediente administrativo de demolición, requirió al recurrente de desalojo y demolición, basándose en la Orden de 23 de junio de 2005, cuyo requerimiento, no pudo ser notificado personalmente al actor, por lo que se procedió a su publicación por edictos. El 14 de abril de 2008, el Ayuntamiento de Madrid dictó acuerdo ejecución subsidiaria sobre la nueva construcción, haciéndose constar que contra el mismo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26 de febrero de 2009 se solicita por la junta de gobierno del Ayuntamiento de Madrid autorización judicial de entrada en domicilio, que es desestimada por el Juzgado de lo Contencioso-Administrativo núm. 8 de Madrid mediante Auto de 2 de septiembre de 2009, al no coincidir la persona identificada en el acuerdo de ejecución subsidiaria y los ocupantes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febrero de 2010 se notificó requerimiento de desalojo al recurrente en amparo en virtud del acuerdo de ejecución subsidiaria de 14 de abril de 2008, solicitando el Ayuntamiento de Madrid con fecha 2 de noviembre de 2010 nueva autorización judicial de entrada en domicilio para la construcción que constituye domicilio del recurrente, para llevar a efecto la orden de demolición de 23 de junio de 2005 y el acuerdo de ejecución subsidiaria de 14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Dicha solicitud dio lugar al procedimiento de entrada en domicilio núm 19-2010 del Juzgado de lo Contencioso-Administrativo núm. 30 de Madrid, planteando el recurrente en amparo recurso de reposición el 21 de enero de 2011 contra la admisión a trámite por el Juzgado de dicha solicitud, alegando la falta de acuerdo de la junta de gobierno del Ayuntamiento de Madrid sobre el desalojo de la vivienda exigido por el art. 221.1 del Reglamento de organización y funcionamiento del régimen jurídico de las Entidades locales y por desconocimiento del art. 45.2 d) de la Ley reguladora de la jurisdicción contencioso-administrativa (LJCA) al no poderse extender el Acuerdo de ejecución subsidiaria de 26 de febrero de 2009 a solicitudes de autorización judicial de entrada en domicilio sucesivas a la desestimada por el Juzgado de lo Contencioso-Administrativo núm. 8 de Madrid mediante el Auto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Alegó también en aquel trámite el hoy recurrente en amparo que tras el acuerdo alcanzado en el año 2009 entre la Comunidad de Madrid, Ayuntamiento de Madrid y otros Ayuntamientos y Administraciones implicadas , se aprobó la Ley 2/2011, de 15 de marzo, de la cañada real Galiana. La exposición de motivos de la misma indica que estando dicha cañada real calificada como vía pecuaria, son evidentes las transformaciones experimentadas por la misma en el tramo de aproximadamente 14,2 kilómetros, que discurre por los términos municipales de Coslada, Rivas Vaciamadrid y Madrid, en sus distritos de Vicálvaro y Vallecas, añadiendo que en la actualidad “el tránsito ganadero en el tramo que discurre por los tres mencionados municipios es nulo, encontrándose la vía pecuaria de hecho ocupada en buena parte por edificación de todo tipo y por un vial por el que circulan vehículos a motor”, lo que justifica la desafectación íntegra del tramo descrito de la cañada real “por no ser adecuado al tránsito ganadero ni susceptible de los usos compatibles y complementarios que aquélla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citado recurso de reposición fue desestimado por decreto del Secretario Judicial de fecha 30 de marzo de 2011. Continuada la tramitación del procedimiento judicial de autorización de entrada en domicilio el hoy recurrente en amparo formuló alegaciones en el mismo aduciendo la inexistencia de apariencia de legalidad de la actuación administrativa al haberse dictado nuevo acuerdo de ejecución subsidiaria sobre la orden de demolición acordada para la primera construcción, ya demolida el 18 de octubre de 2007 y no para la levantada posteriormente. Alega asimismo que otra solicitud de entrada fue desestimada por Auto ya citado del Juzgado de lo Contencioso-Administrativo núm. 8 de Madrid, añadiendo que el acuerdo de ejecución subsidiaria de 26 de febrero de 2009 había sido recurrido en la jurisdicción contencioso administrativa, estando dicho proceso pendiente y que se habían desconocido en la vía administrativa y judicial las garantías para la realización del desalojo previstas en la Declaración universal de derechos humanos, el Pacto internacional de derechos civiles y políticos y la Convención de derechos del niño, resaltando que el desalojo y demolición de la vivienda podía afectar a la educación de los hijos menores del recurrente. Dicho escrito de alegaciones fue complementado con el presentado el 8 de abril de 2011, en el que pone de manifiesto la entrada en vigor de la ya citada Ley 2/2011, de 15 de marzo, de la cañada real, de la Comunidad de Madrid, cuya disposición adicional primera, entiende el recurrente invalidaría las demoliciones pendientes de ejecución, exigiendo, a su juicio, la coordinación entre las Administraciones públicas competentes y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dictado el 20 de abril de 2011 el Juzgado de lo Contencioso-Administrativo núm. 30 de Madrid autorizó la entrada en la construcción que constituye el domicilio del recurrente y doña Fátima Zohra Alami Wahabi, para proceder al desalojo y demolición de la citada construcción en ejecución de la resolución municipal de 23 de junio de 2005, entendiendo que la resolución administrativa deriva de un expediente administrativo donde se han respetado todas las prescripciones legales, siendo firme la orden de demolición y la ejecución subsidiaria consecuencia de la falta de ejecución voluntaria de la orden a la que no afectan las alegaciones realizadas por el recurrente sobre la construcción ni sobre la aplicación de la Ley 2/2011, autorizando la entrada en el citado domicilio, pero demorando la misma hasta la conclusión del curso escolar de los menores que residen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Planteada la aclaración del citado Auto por el recurrente, por haberse omitido en el mismo pronunciamiento sobre la falta de acuerdo de la junta de gobierno del Ayuntamiento de Madrid sobre la nueva solicitud de entrada, pues el acuerdo preexistente se refería a la solicitud de autorización desestimada por el Juzgado de lo Contencioso-Administrativo núm. 8 de Madrid, así como sobre la pendencia del procedimiento ordinario núm. 36-2011 ante el Juzgado de lo Contencioso-Administrativo núm. 7 de Madrid, entendiendo el recurrente que dicha omisiones generan una lesión del derecho a la tutela judicial efectiva sin indefensión, prevista en el art. 24.1 CE, se dicta Auto de 14 de junio de 2011 en el que se declara no existir incongruencia omisiva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al Auto de 20 de abril de 2011 y el de aclaración de 14 de junio de 2011 se interpuso recurso de apelación, por el hoy recurrente, alegándose la existencia de incongruencia omisiva generadora de indefensión al no resolverse sobre los extremos que fueron objeto de solicitud de aclaración, la no apariencia de legalidad del acto administrativo previo al utilizarse por el Ayuntamiento una misma resolución para dar lugar a dos demoliciones, alegándose asimismo que la orden de ejecución sustitutoria de 8 de febrero de 2010 establecía que contra la misma no cabía recurso, lo que motivó que el recurrente no accionara contra la misma, lo que asimismo le ha generado indefensión, añadiendo que la cuestión relativa a la cañada real excede a los procedimientos de disciplina urbanística, existiendo además una tolerancia en la materia e insiste en la aplicación de la disposición adicional primera de la Ley 2/2011, siendo a su juicio, ilegal proceder al derribo, sin un proceso de concertación entre las partes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recurso de apelación, tramitado con el núm. 1077-2011, por la Sección Segunda de la Sala de lo Contencioso-Administrativo del Tribunal Superior de Justicia de Madrid, fue desestimado mediante Sentencia de 8 de marzo de 2012, fundada en los siguientes argumentos: 1) La resolución de 23 de junio de 2005 da cobertura suficiente a la solicitud de desalojo y demolición, así como consta orden de desalojo, demolición y ejecución subsidiaria de fecha 14 de abril de 2008, autorizando la junta de gobierno local la solicitud de autorización de entrada judicial en fecha 26 de febrero de 2009, que no fue concedida por un error material en la persona del ocupante de la vivienda y es título bastante para la nueva solicitud de entrada cuya autorización se apela y 2) Que la Ley de la Comunidad de Madrid 1/2011, de 15 de marzo, de la cañada real Galiana, no implica que la misma cambie el planeamiento vigente ni que transforme un suelo no urbanizable en suelo urbano consolidado y por tanto otorgue al ocupante el ius edificandi propio de esta categoría de suelo, añadiendo la Sentencia que se ha producido un abuso del derecho por parte del recurrente no sólo al comenzar a construir la chabola ilegal al día siguiente de que la Administración la demoliera en ejecución sustitutoria, sino además recurriendo la segunda orden de desalojo y demolición, de la que trae causa dicho recurso de apelación, por lo que la Sala acuerda deducir testimonio al Ministerio Fiscal por si los hechos fueran constitutivos de un delito de desobediencia grave a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la demanda de amparo que se ha vulnerado su derecho a la intimidad e inviolabilidad del domicilio (art. 18.2 CE), en base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actuación judicial es contraria a la ya citada Ley de la Comunidad de Madrid 2/2011 y al derecho a la inviolabilidad del domicilio ex art 18.2 CE, por cuanto dicha Ley contiene una previsión que evitaría la demolición de viviendas sin consulta al afectado y acuerdo con las Administraciones, constituyendo una alternativa legal a la realización de desalojos y demoliciones individuales por el Ayuntamiento de Madrid, siendo que dicha alternativa legal no compromete el derecho a la inviolabilidad del domicilio ni el principio de proporcionalidad al ser el único alojamiento del recurrente. Alega además que el desalojo y demolición de su vivienda supone una discriminación al excluirle de facto y sin motivación del proceso de concertación social sobre la solución del problema de los alojamientos en la Cañada Real previsto en la citada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a la inviolabilidad domiciliaria del art. 18.2 CE se conecta con la vulneración del art. 8 del Convenio europeo para la protección de los derechos humanos y de las libertades fundamentales (CEDH) y afecta al derecho a la vivienda que contempla el art. 47 CE, alegando la Sentencia del Tribunal Europeo de Derechos Humanos (STEDH) de 24 de abril de 2012, caso Yordanova y otros c. Bulgaria, en la que el Tribunal considera que no es admisible una violación del domicilio en los casos en que habiéndose soportado durante décadas por la Administración la situación de las construcciones, es necesaria la existencia de un objetivo legítimo y necesario de la Administración que justifique la medida, así como se alega el incumplimiento de las garantías en materia de desalojos forzosos contenidas en los “Principios Básicos y Directrices sobre Desalojos y el Desplazamiento Generados por el Desarrollo” de la ONU.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 amparo funda la especial trascendencia constitucional en el hecho de que el Tribunal Constitucional se pronuncie sobre el derecho constitucional invocado incorporando la jurisprudencia europea al respecto, interpretando el art.18.2 CE con arreglo al Convenio europeo de derechos humanos y 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17 de enero de 2013, acordó admitir la demanda de amparo y, en aplicación de lo dispuesto en el art. 51 de la Ley Orgánica del Tribunal Constitucional, requerir atentamente a los órganos judiciales la remisión del testimonio de las actuaciones y el emplazamiento de quienes hubieran sido parte en el procedimiento, a excepción del recurrente, para que pudiesen comparecer en el plazo de diez días en el presente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este Tribunal el 27 de febrero de 2013, el Letrado del Ayuntamiento de Madrid, en nombre y representación del mismo, solicita se le tenga por personado, lo que se verifica mediante diligencia de ordenación del Secretario de Justicia de la Sala Segunda fechada el 7 de marzo de 2013, abriéndose un plazo común de veinte días dentro de los cuales las partes personadas y el Ministerio Fiscal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Ayuntamiento de Madrid, realiza sus alegaciones mediante escrito presentado ante este Tribunal el 16 de abril de 2013, en el que manifiesta que el derecho a la inviolabilidad del domicilio no es absoluto, sino que tiene sus límites como en el caso, la necesidad de entrar en el mismo para ejecutar un acto administrativo consentido y firme de restablecimiento de la legalidad urbanística, para cuya ejecución no sólo es proporcional la entrada en el domicilio del recurrente, sino que dicha entrada, desalojo y demolición constituyen la propia ejecución del acto administrativo y que siendo las fechas de las órdenes de demolición de los años 2005 y 2008, las alegaciones relativas a la Ley 2/2011 no le son de aplicación. Añade que esa ponderación de los intereses en conflicto se ha realizado por las resoluciones judiciales al acordar diferir la efectiva demolición a la finalización del curso escolar de los menores que habitan en la vivienda. Concluye el escrito de alegaciones que la Sentencia alegada del Tribunal Europeo de Derechos humanos en el caso Yordanova no es aplicable al presente caso, puesto que allí las vulneraciones cometidas consistían en una discriminación étnica, no concurrente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con fecha de registro en este Tribunal de 19 de abril de 2013, interesa que se otorgue el amparo por lesión del art. 18.2 CE, entendiendo que la Administración municipal debería haber dictado una nueva orden de demolición tras haberse reconstruido lo demolido, sin sustentarse exclusivamente en la anterior orden de demolición, omitiendo además respecto a la segunda demolición la autorización de la junta de gobierno local, concluyendo que el Ayuntamiento de Madrid no ha expuesto las razones por las que se apoya como acto de cobertura para el desalojo y demolición de la segunda construcción en la orden de 23 de junio de 2005, por la que se procedió a la demolición de la primera construcción, por lo que no se han respetado las normas procedimentales que permitirían incidir en el derecho de inviolabilidad domiciliaria, por lo que los pronunciamientos recurridos en amparo no satisfacen el canon de constitucionalidad exigido para la injerencia en el citado derecho fundamental. Por último, recuerda el Ministerio Fiscal la vinculación entre el derecho a la inviolabilidad del domicilio y la garantía del derecho a una vivienda digna y adecuada contenido en el art. 47 CE, afirmando que la Administración podría cumplir con el restablecimiento de la legalidad urbanística por otros medios que comprometan en menor medida el derecho fundamental, en la medida que la Ley 2/2011 posibilitaría otras soluciones, pues no excluye de futuro una posible legalización de las construcciones ilegales asentadas en la Cañada Real Galiana y declara en todo caso, la necesidad de una solución social concertada entre las partes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octubre de 2013, se señaló para deliberación y fallo de la Sentencia el día 4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examinamos denuncia que las sucesivas resoluciones del Juzgado de lo Contencioso-Administrativo y de la Sala del Tribunal Superior de Justicia referenciadas en antecedentes y que autorizaron la entrada en el domicilio del recurrente para proceder a su desalojo y demolición, en ejecución de resolución administrativa anterior, vulneraron el contenido constitucionalmente declarado del derecho a la inviolabilidad del domicilio, por ser contrarias las resoluciones judiciales a Ley de la Comunidad de Madrid 2/2011 ya citada en los antecedentes fácticos y al derecho a la inviolabilidad del domicilio ex art 18.2 CE, cuya norma legal constituye una alternativa legal a la realización de desalojos y demoliciones individuales por el Ayuntamiento de Madrid, siendo que dicha alternativa legal no compromete el derecho a la inviolabilidad del domicilio ni el principio de proporcionalidad al ser la vivienda cuya demolición se ha ordenado el único alojamiento del recurrente y su familia. Alega además que el desalojo y demolición de su vivienda supone una discriminación al excluirle de facto y sin motivación del proceso de concertación social sobre la solución del problema de los alojamientos en la cañada real previsto en la citada Ley autonómica. Conecta la lesión alegada de la inviolabilidad domiciliaria con la vulneración del art. 8 del Convenio europeo para la protección de los derechos humanos y de las libertades fundamentales (CEDH) que afecta al derecho a la vivienda que contempla el art. 47 CE, alegando la Sentencia del Tribunal Europeo de Derechos Humanos (STEDH) de 24 de abril de 2012, caso Yordanova y otros c. Bulgaria e incorporando la jurisprudencia europea al respecto, interpretando el art. 18.2 CE con arreglo al Convenio europeo de derechos humanos y el Pacto internacional de derechos económicos, sociales y culturales. La representación procesal del Ayuntamiento de Madrid, como ha quedado expuesto más ampliamente en los antecedentes de hecho, considera que las resoluciones judiciales impugnadas son conformes a Derecho y no vulneran el principio de proporcionalidad en la ponderación de los derechos en conflicto, siendo resolución bastante para la habilitación de la solicitud de autorización judicial aquella en la que se apoya el consistorio y no siendo aplicable la Sentencia que cita el recurrente del Tribunal Europeo de Derechos Humanos al no existir ningún tipo de discriminación, así como tampoco resulta de aplicación la Ley autonómica alegada, posterior a la firmeza de los actos administrativos que se pretenden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por lesión del art. 18.2 CE, entendiendo que la Administración municipal debería haber dictado una nueva orden de demolición tras haberse reconstruido lo demolido, sin sustentarse exclusivamente en la anterior, omitiendo además respecto a la segunda demolición la autorización de la junta de gobierno local, concluyendo que el Ayuntamiento de Madrid no ha expuesto las razones por las que se apoya como acto de cobertura para el desalojo y demolición de la segunda construcción en la orden de 23 de junio de 2005, por la que se procedió a la demolición de la primera construcción, por cuyo motivo no se han respetado las normas procedimentales que permitirían incidir en el derecho de inviolabilidad domiciliaria, por lo que los pronunciamientos recurridos en amparo no satisfacen el canon de constitucionalidad exigido para la injerencia en el citado derecho fundamental. Por último, recuerda el Ministerio Fiscal la vinculación entre el derecho a la inviolabilidad del domicilio y la garantía del derecho a una vivienda digna y adecuada contenido en el art. 47 CE, afirmando que la Administración podría cumplir con el restablecimiento de la legalidad urbanística por otros medios que comprometan en menor medida el derecho fundamental, en la medida que la Ley 2/2011 posibilitaría otras soluciones, pues no excluye de futuro una posible legalización de las construcciones ilegales asentadas en la cañada real Galiana y declara en todo caso, la necesidad de una solución social concertada entre las partes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ya dijimos en la STC 69/1999, de 26 de abril, “el domicilio constitucionalmente protegido, en cuanto morada o habitación de la persona, entraña una estrecha vinculación con su ámbito de intimidad, como hemos declarado desde la STC 22/1984, fundamento jurídico 5 (asimismo, SSTC 160/1991 y 50/1995, entre otras); pues lo que se protege no es sólo un espacio físico sino también lo que en él hay de emanación de una persona física y de su esfera privada (STC 22/1984 y ATC 171/1989)”. En relación con los actos de la Administración cuya ejecución precisa de la entrada en un domicilio, que es el supuesto que ahora interesa, este Tribunal ha señalado, STC 139/2004, de 13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al Juez que otorga la autorización de entrada no le corresponde enjuiciar la legalidad del acto administrativo que pretende ejecutarse. Conviene advertir que esta doctrina, aunque se ha establecido en relación con el Juez de Instrucción, que era quien antes de la reforma efectuada por la Ley 29/1998, de 13 de julio, reguladora de la jurisdicción contencioso-administrativa (en adelante LJCA), otorgaba este tipo de autorizaciones, resulta igualmente aplicable a los Jueces de lo contencioso-administrativo, que son los ahora competentes para emitir aquéllas en los casos en los que ello sea necesario para la ejecución de los actos de la Administración pública (art. 8.5 LJCA) —actual 8.6 LJCA— pues, en este concreto procedimiento, las atribuciones de estos Jueces se limitan únicamente a garantizar que las entradas domiciliarias se efectúen tras realizar una ponderación previa de los derechos e intereses en conflicto. Como ha señalado este Tribunal (SSTC 160/1991, de 18 de julio, FJ 8; 136/2000, de 29 de mayo, FJ 3), en estos supuestos la intervención judicial no tiene como finalidad reparar una supuesta lesión de un derecho o interés legítimo, como ocurre en otros, sino que constituye una garantía y, como tal, está destinada a prevenir la vulneración del derecho. De ahí que, para que pueda cumplir esta finalidad preventiva que le corresponde, sea preciso que la resolución judicial que autorice la entrada en el domicilio se encuentre debidamente motivada, pues sólo de este modo es posible comprobar, por una parte, si el órgano judicial ha llevado a cabo una adecuada ponderación de los derechos o intereses en conflicto y, por otra, que, en su caso, autoriza la entrada del modo menos restrictivo posible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el otorgamiento de esta clase de autorizaciones no puede efectuarse sin llevar a cabo ningún tipo de control, pues si así se hiciera no cumplirían la función de garantizar el derecho a la inviolabilidad del domicilio que constitucionalmente les corresponde. Por esta razón este Tribunal ha sostenido que, en estos supuestos, el Juez debe comprobar, por una parte, que el interesado es el titular del domicilio en el que se autoriza la entrada, que el acto cuya ejecución se pretende tiene una apariencia de legalidad, que la entrada en el domicilio es necesaria para aquélla y que, en su caso, la misma se lleve a cabo de tal modo que no se produzcan más limitaciones al derecho que consagra el art. 18.2 CE que las estrictamente necesarias para la ejecución del acto [SSTC 76/1992, de 14 de mayo, FJ 3 a); 50/1995, de 23 de febrero, FJ 5; 171/1997, de 14 de octubre, FJ 3; 69/1999, de 26 de abril; y 136/2000, de 29 de mayo, FFJJ 3 y 4]. Junto a estas exigencias, este Tribunal ha señalado también que han de precisarse los aspectos temporales de la entrada, pues no puede quedar a la discrecionalidad unilateral de la Administración el tiempo de su duración (STC 50/1995, de 23 de febrero, FJ 7). Tales cautelas tienen como finalidad asegurar que no se restringe de modo innecesario el derecho a la inviolabilidad del domicilio, evitando un sacrificio desproporcionado de este derecho (SSTC 50/1995, de 23 de febrero, FJ 7; 69/1999, de 26 de abril, FJ 4). Por ello las exigencias en cada supuesto dependerán de las circunstancias que concurran, pues, como se señala en la STC 69/1999, de 29 de abril, FJ 4, los requisitos de detalle formulados a propósito de casos concretos pueden no resultar precisos en otros supuestos en los que las circunstancias sean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desde la perspectiva constitucional, la resolución judicial por la que se autoriza la entrada en un domicilio se encontrará debidamente motivada y, consecuentemente, cumplirá la función de garantía de la inviolabilidad del domicilio que le corresponde, si a través de ella puede comprobarse que se ha autorizado la entrada tras efectuar una ponderación de los distintos derechos e intereses que pueden verse afectados y adoptando las cautelas precisas para que la limitación del derecho fundamental que la misma implica se efectúe del modo menos restrictivo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decimos, el órgano jurisdiccional debe velar por la proporcionalidad de la medida interesada, de modo tal que la entrada en el domicilio sea absolutamente indispensable para la ejecución del acto administrativo. Pues será justamente en este juicio de proporcionalidad —al que expresamente remiten nuestras Sentencias 50/1995 y 69/1999, como canon de enjuiciamiento de la licitud de la autorización judicial de entrada en el domicilio—, en el de haberse respetado, no se producirá la vulneración del derecho fundamental. Como se ha indicado en los antecedentes de esta Sentencia, nos encontramos ante un caso en el que la Administración intenta ejecutar forzosamente el contenido de una resolución que ha dictado previamente y que el afectado se ha negado a cumplir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antedicho control judicial de la apariencia prima facie de la legalidad extrínseca de la actuación administrativa para acordar la autorización de entrada domiciliaria es realizado por la Sentencia dictada en apelación por la Sala de lo Contencioso Administrativo del Tribunal Superior de Justicia de Madrid confirmando el Auto del Juzgado correspondiente de lo Contencioso-Administrativo, resolviendo, en contra de lo alegado por el recurrente en amparo, que la orden de demolición originaria, en virtud de la cual en ejecución sustitutoria, se procedió a la demolición de la construcción del recurrente, quien la reconstruyó al día siguiente en el mismo emplazamiento, no precisaba un nuevo pronunciamiento administrativo sobre el fondo del asunto del restablecimiento de la legalidad urbanística ni un nuevo acuerdo de la junta de gobierno municipal para solicitar nueva autorización de entrada pues el inicial acuerdo de la junta de gobierno municipal ya evidenciaba la voluntad de la Administración de ejecutar la resolución administrativa a cuyo fin acordaba solicitar la autorización judicial, así como la orden de demolición de 2005 constituye acuerdo de cobertura suficiente junto con la nueva orden de ejecución subsidiaria de 2008 para impetrar el auxilio judicial para la entrada en el domicilio a efectos de ejecutar la resolución administrativa. El derecho a la inviolabilidad domiciliaria no se ve vulnerado por los acuerdos administrativos anteriores pues la propia actuación del recurrente al reconstruir inmediatamente lo demolido por la primera orden administrativa municipal, provoca la inexistencia de solución de continuidad del procedimiento administrativo, no siendo legítimo impetrar el amparo constitucional por unos alegados e inexistentes defectos formales provocados por el propio recurrente, mediante una causa torpe, al reconstruir al día siguiente de la demolición lo que desde el inicio vulneraba la disciplina urbanística, siendo esta cuestión un acto firme y consentido por el recurrente, que no puede por la vía del recurso contencioso administrativo ni de este recurso de amparo reabrir el debate jurisdiccional de lo que debió en su caso ser alegado y discutido en un recurso contencioso administrativo contra el expediente de disciplina urbanística y no contra la pura ejecución del mismo, en la solicitud de autorización judicial, no habiéndose acreditado por el recurrente la pendencia de recurso contencioso administrativo alguno contra la orden de demolición de la construcción.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alegación del recurrente en amparo consistente en haberse vulnerado su derecho a la intimidad e inviolabilidad del domicilio (art. 18.2 CE) por ser contrarias la resoluciones judiciales a Ley de la Comunidad de Madrid 2/2011, de 15 de marzo, de la cañada real Galiana ya citada en los antecedentes fácticos, cuya norma legal constituye una alternativa legal a la realización de desalojos y demoliciones individuales por el Ayuntamiento de Madrid, siendo que dicha alternativa legal no compromete el derecho a la inviolabilidad del domicilio ni el principio de proporcionalidad al ser la vivienda cuya demolición se ha ordenado el único alojamiento del recurrente y su familia, es preciso recordar junto a la Sentencia de apelación ahora recurrida que la disposición transitoria segunda de la citada Ley establece que “atendiendo a la singular situación de ocupación ilegal de gran parte de los terrenos a los que se refiere esta Ley, en tanto no se elabore el censo de fincas y ocupantes a que se refiere la disposición transitoria primera y los Ayuntamientos no hayan procedido a la nueva clasificación del suelo resultante de la desafectación de la vía pecuaria en el ejercicio de sus competencias urbanísticas, no se entenderá producida la usurpación a los efectos del cómputo del plazo de prescripción de las infracciones administrativas derivadas de la ocupación ilegal y del ejercicio de la potestad de recuperación posesoria”. El recurrente entiende que el proceso de concertación por acuerdo entre las partes implicadas que dicha Ley prevé para la futura resolución de la situación de las viviendas ilegales construidas en la citada cañada real, en su disposición adicional primera, que establece que “atendiendo a la diversidad de circunstancias que se dan en los terrenos desafectados, de acuerdo con lo que establece el artículo 3.3 de esta Ley, las Administraciones con competencia en la materia acordarán los mecanismos e instrumentos de colaboración y cooperación que sean necesarios para llevar a cabo un acuerdo marco para resolver todas las cuestiones derivadas de la ocupación, desafectación y destino de los terrenos de la cañada real Galiana objeto de la presente Ley, dando en todo el proceso participación a los afectados debidamente representados por asociaciones acreditadas” supondría una aplicación más proporcional de la legalidad urbanística que no perjudicaría la inviolabilidad domiciliaria. Sin embargo, es preciso destacar, por una parte, que dicha Ley es posterior a las resoluciones administrativas firmes para cuya ejecución se impetraba la autorización judicial de entrada en domicilio, por lo que dicha solicitud de autorización de entrada en domicilio no vulneraba la aplicación de la referida norma legal, ni por tanto, las resoluciones judiciales que la autorizaron y ratificaron su autorización. Y, por otra parte, que el principio de proporcionalidad que debe ser respetado en la autorización judicial de entrada en domicilio, según constante doctrina de este Tribunal, y ha de efectuarse “teniendo en cuenta los elementos y datos disponibles en el momento en que se adopta la medida restrictiva del derecho fundamental (SSTC 126/2000, de 16 de mayo, FJ 8; y 299/2000, de 11 de diciembre, FJ 2), debiendo comprobarse, desde la perspectiva de análisis propia de este Tribunal, si en la resolución judicial de autorización aparecen los elementos necesarios para entender que se ha realizado la ponderación de la proporcionalidad de la medida (por todas, SSTC 171/1999, de 27 de septiembre, FJ 5; y 169/2001, de 16 de julio, FJ 9)” (STC 239/2006, de 17 de julio, FJ 6). Y en este caso la ponderación de la necesidad de incidir en el derecho fundamental previsto en el art. 18.2 CE, para la ejecución de la resolución administrativa no sólo es proporcionada sino la única posibilidad de su ejecución pues contiene el mandato de su desalojo y demolición y no como pretende el recurrente que la ponderación de proporcionalidad lo sea sobre otra posible solución administrativa eventual y futura que no constituye derecho alguno frente a la ilegalidad de la construcción, cuya cuestión fue firme y consentida en la vía administrativa, esto es, no cabe plantearse en esta sede de amparo constitucional por no afectar al contenido del derecho fundamental a la inviolabilidad domiciliaria tal y como ha sido configurado por las Sentencias de este Tribunal antes citadas. A mayor abundamiento, las resoluciones judiciales recurridas en amparo garantizan la proporcionalidad de la entrada en domicilio para la demolición respecto a los derechos educativos de los menores, demorando su ejecución hasta la finalización del curso escolar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la invocación realizada por el recurrente en amparo de la Sentencia del Tribunal Europeo de Derechos Humanos de 24 de abril de 2012, caso Yordanova y otros c. Bulgaria, no puede resultar de aplicación al caso que ahora contemplamos pues en aquélla se entiende que existe una discriminación étnica, cuya proscripción constituye la motivación de la Sentencia, circunstancia que no acontece en el presente caso, en el que sólo se alude tangencialmente a una posible discriminación con otros moradores de construcciones a quienes en el futuro y eventualmente se puedan otorgar soluciones distintas, cuando se produzca la modificación municipal del planeamiento, término de comparación eventual, futuro e incierto que no puede sustentar la alegación de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acontece con la invocación del art. 8 CEDH que establece que “1. Toda persona tiene derecho al respeto de su vida privada y familiar, de su domicilio y de su correspondencia. 2. La autoridad pública solamente podrá injerirse en el ejercicio de este derecho en tanto en cuanto esta injerencia esté prevista por la ley y sea una medida necesaria, en una sociedad democrática, para la seguridad nacional, la seguridad pública, el bienestar económico del país, la defensa del orden y la prevención de los delitos, la protección de la salud o de la moral, o la protección de los derechos y libertades de los demás”, que en modo alguno pueden entenderse infringidos por el acto administrativo dictado para la protección de la legalidad urbanística y la ejecución del mismo una vez adquirida firmeza, que requiere inexorablemente la entrada en el domicilio objeto de dicha resolución, para proceder a la demolición en ella acordada y cuya inviolabilidad es el derecho fundamental sobre el que se solicita amparo constitucional, puesto que el respeto al domicilio que proclama el alegado art. 8 CEDH tiene como límite, entre otros supuestos, que la entrada en el mismo sea precisa para la ejecución de un acto administrativo firme y consentido en una ponderación de adecuada proporcionalidad de la inmisión, como ya ha sido analizado. Y por lo que se refiere al derecho del art. 47 CE (que no es de los comprendidos en el art. 53.2 CE), no se observa en el caso la incidencia de tal derecho en la inviolabilidad domiciliaria, cuando sólo se debate la necesidad y proporcionalidad de la entrada en el domicilio del recurrente, pues la demolición de la vivienda fue ya acordada con carácter de firmeza por la Administración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debe afirmarse que las resoluciones judiciales combatidas en este recurso de amparo constitucional no han producido las alegadas vulneraciones del derecho a la intimidad e inviolabilidad del domicilio (art. 18.2 CE), ni se ha producido la vulneración vinculada a aquél del principio de igualdad no suponiendo una aplicación discriminatoria de la jurisprudencia del Tribunal Europeo de Derechos Humanos en interpretación del art. 8 CEDH, ni del art. 47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Abdelilah Ghailan.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doña Adela Asua Batarrita a la Sentencia dictada en el recurso de amparo núm. 3769-2012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tuvimos oportunidad de manifestar a lo largo de las deliberaciones del presente proceso constitucional, disentimos de la decisión mayoritariamente adoptada. Dentro del máximo respeto hacia el parecer de nuestros compañeros de Sala, entendemos, por las razones que de inmediato se expondrán, que el fallo debió declarar la vulneración del art. 18.2 CE. Pero antes de entrar en los concretos argumentos de fondo de la discrepancia, interesa efectuar algunas observaciones de carácter más general cuya finalidad no es otra que la de identificar el marco de nuestros intensos y extensos desencuentros con la ratio decidendi de la presente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nos apartamos manifiesta y traduce una concepción inerte o, al menos, inane e inconsistente de los derechos fundamentales. Y lo hace, adicionalmente, en un ámbito donde resulta de todo punto imprescindible su proyección con plena intensidad, sin sustraer un ápice a la sustancial función atribuida a la tutela del ejercicio de esos derechos en un Estado que, como sucede con el nuestro, se reconoce en el mismo pórtico de su Carta Magna como un “Estado Social y Democrático de Derecho” (art. 1.1 CE). La decisión adoptada se articula, además y a nuestro juicio, sin el debido rigor en la aplicación del canon de constitucionalidad y en la inferencia del contenido esencial del art. 18.2 CE, que ha de ser integrado mediante el recurso sistemático a criterios hermenéuticos deducibles tanto de los principios rectores del capítulo III del título I CE, en particular de los contemplados en los arts. 39 y 47 de la norma constitucional, como de las aportaciones doctrinales de instancias jurisdiccionales autorizadas para la interpretación auténtica de los convenios internacionales ratificados por España, en especial las ofrecidas en esta materia por el Tribunal Europeo de Derechos Humanos, de las que la resolución dictada se separa con argumentos que, al incurrir en un formalismo enervante, terminan vaciando de todo contenido sustantivo a los derechos involucrados en esas aportaciones.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alcanza a los diferentes elementos que sustenta esta Sentencia. Ni compartimos la valoración selectiva y descontextualizada que se efectúa de los hechos probados, ni la doctrina que se sienta sobre los derechos fundamentales y principios rectores concernidos. Y tampoco podemos hacer nuestra y coincidir con la idea que emana de su texto sobre el modelo constitucional de tutela, que con resoluciones como la presente se enfrenta a una incomprensible regresión en su protección clásica.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éste un retroceso que, además de apartarse de manera infundada e irrazonable desde una perspectiva jurídico-constitucional de los criterios consolidados en nuestra propia doctrina, es acreedor al calificativo de socialmente preocupante. Y lo es por cuanto se explícita en unos terrenos en los que la confirmación de la protección de los derechos fundamentales es más perentoria en razón de que afecta al patrimonio constitucional de ciudadanos especialmente vulnerables, ubicados en una situación de precariedad jurídica y económica; esto es, de marginación y exclusión sociales. En pocos recursos de amparo resueltos por nuestro Tribunal, como acontece en este, puede apreciarse con tanta nitidez el giro que se está produciendo en nuestra jurisprudencia en materia de derechos fundamentales y que ya comienza a ser expresivo de un inquietante repliegue hacia zonas de menor intensidad protectora.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recurrente en amparo, bajo la invocación del derecho a la inviolabilidad del domicilio (art. 18.2 CE), aduce ante este Tribunal que las resoluciones judiciales que autorizaron la entrada en su hogar, para proceder al derribo del mismo, no ponderaron adecuadamente los intereses en conflicto; que faltaron a la obligación de proporcionalidad de las medidas restrictivas de derechos fundamentales y obviaron la jurisprudencia del Tribunal Europeo de Derechos Humanos respecto del art. 8 del Convenio europeo para la protección de los derechos humanos y de las libertades fundamentales (CEDH). Del presente recurso de amparo emerge, así pues, un doble plano de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parte, la integración en la interpretación que este Tribunal realiza del derecho a la inviolabilidad del domicilio del art. 18.2 CE, invocado por el recurrente, de la jurisprudencia que el Tribunal Europeo de Derechos Humanos ha desarrollado recientemente en supuestos de conflicto entre el derecho del art. 8 CEDH y las potestades administrativas de restablecimiento de la legalidad urbanística mediante el recurso a desalojos colectivos, o a desalojos que, a pesar de ser tramitados de forma individual, afectan a barrios o asentamientos enteros. Las SSTEDH de 24 de abril de 2012, en el caso Yordanova y otros c. Bulgaria, y de 17 de octubre de 2013, caso Winterstein y otros c. Francia, presentan marcadas similitudes con el asunto que resuelve este Tribunal, definiendo una serie de criterios que la Sentencia aprobada por la mayoría de la Sala Segunda pasa abiertamente por alto, a pesar de haber sido objeto del debate y resultar acusada su conexión con lo sustanciado en este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el recurso de amparo contextualiza ese conflicto entre el derecho a la inviolabilidad del domicilio y la recuperación de la legalidad urbanística, en zonas de asentamientos humanos consolidados e irregulares, con el derecho a gozar de una vivienda digna; previsión que, en nuestra Constitución, se recoge entre los principios rectores de la política social y económica, concretamente en el art. 47 CE. Este segundo plano del análisis recibe una respuesta apodíctica en el texto aprobado, omitiéndose el vigor que los principios rectores poseen en el juicio de constitucionalidad y su potencial interactivo con los derechos fundamentales sustantivos con los que convergen, según viene razonado de modo ininterrumpido nuestra jurisprudencia desde antiguo.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ambos planos del análisis se aproxima la Sentencia de la mayoría, por lo tanto, con marcada escasez argumentativa; sin vocación de delimitación integradora del derecho fundamental invocado (art. 18.2 CE) con los principios rectores vinculados al mismo en esta tipología de casos, y sin una atención mínimamente cumplida de aquella jurisprudencia sobre el Convenio de Roma, pese a lo que dispone el art. 10.2 CE y aunque las determinaciones del Tribunal Europeo de Derechos Humanos constituyen una de las causas de objetivación del amparo en función de su especial trascendencia constitucional (STC 155/2009, de 25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previsible consecuencia de lo expuesto, el pronunciamiento muestra una llamativa severidad en la elucidación de las coberturas propias del art. 18.2 CE, ajena a una tutela del ciudadano recurrente verdaderamente efectiva. Lo acredita el parco juicio de proporcionalidad que se enuncia en el texto aprobado, y también la opción que subyace en el mismo en orden a aislar el caso de su contexto, eludiendo que en la base de los desalojos en la cañada real se ponen en juego algo más que una o varias demoliciones singulares, y algo más que la legalidad de un acto de la Administración cuya ejecución precisa de la entrada en un domicilio. Se debate, antes al contrario, la necesidad de evitar que personas, familias y, más aún, una comunidad entera, deban salir de sus hogares mientras no obtengan medios apropiados y alternativos de protección, así como, adicionalmente, el imperativo constitucional de que esa práctica se lleve a cabo, en su caso, con las necesarias garantías de respeto a los derechos fundamentales implicados, atendiendo a las garantías de procedimiento pero también a las consecuencias materiales de tal intervención, pues al margen de ellas es manifiestamente torpe el propósito de la Administración de restaurar la legalidad urbanística, por legítimo que sea en una aproximación abstracta o teórica o, incluso,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Apreciamos por ello una Sentencia incomunicada de la realidad social sobre la que se proyecta; inconmovible ante el hecho de que la Administración, en este caso la municipal, incoe procedimientos individuales de desalojo y derribo que afectan a un asentamiento irregular en el que viven miles de ciudadanos, titulares de derechos fundamentales no en menor medida que aquellos otros cuyos domicilios no presentan objeción de legalidad alguna, y caracterizados además, siquiera globalmente, por un alto riesgo de exclusión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la valoración que cumple realizar al Tribunal Constitucional sobre la resolución judicial que autoriza la entrada en un domicilio particular para proceder a su desalojo y demolición, no podemos olvidar que el art. 10.2 CE exige interpretar las normas relativas a los derechos fundamentales y libertades públicas contenidas en el título I CE de conformidad con la Declaración universal de derechos humanos y los tratados y acuerdos internacionales sobre las mismas materias ratificados por España, interpretación que de ninguna manera puede prescindir de la que, a su vez, llevan a cabo los órganos de garantía establecidos por esos tratados y acuerdos internacionales (por todas, en fechas muy recientes, STC 61/2013, de 14 de marzo,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a la hora de determinar si una autorización judicial de entrada en domicilio está debidamente motivada, en atención al principio de proporcionalidad, debemos indefectiblemente detenernos en lo preceptuado en el art. 8 CEDH, y en la interpretación que del mismo formula la jurisprudencia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sabido que los problemas de articulación entre regímenes de garantía son característicos de nuestro sistema de derechos fundamentales, correspondiendo a este Tribunal Constitucional la función de precisar el concreto contenido de los derechos y libertades asegurados por el poder público español a partir de la concurrencia, en su definición, de normas internacionales y normas estrictamente internas, dotadas las primeras de instancias propias de protección y, por tanto, de definición autorizada de su contenido y alcance. Los concretos problemas de instrumentación que pudieran suscitarse no pueden ser objeto de un pronunciamiento anticipado y abstracto. Así, aquellos casos en los que tradicionalmente se viene planteando la integración del Convenio de Roma obligan a que, según ha señalado nuestra jurisprudencia, su solución deba perseguirse en el marco de los procedimientos constitucionales atribuidos al conocimiento de este Tribunal, ponderando para cada concreto derecho y en sus específicas circunstancias las fórmulas de articulación y definición más pertinentes, en diálogo constante con las instancias jurisdiccionales autorizadas para la interpretación auténtica del convenio internacional, en tanto que contiene enunciados de derechos coincidentes con los proclamados por la Constitución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así, por obra de lo dispuesto en el art. 10.2 CE, y adaptando lo que estableció este Tribunal al referirse a la Carta de los derechos fundamentales de la Unión Europea en la Declaración 1/2004, de 13 de diciembre, creemos que debería haberse declarado también ahora, en este escenario en el que toma protagonismo la jurisprudencia del Tribunal Europeo de Derechos Humanos sobre el Convenio europeo de derechos humanos, que el Convenio y su interpretación se erigen, tras su integración en el Ordenamiento español, no solo en una pauta para la delimitación de las normas relativas a los derechos fundamentales y a las libertades que la Constitución reconoce (art. 10.2 CE), sino, de manera añadida y taxativamente, en un canon de garantías mínimas y, por tanto, insoslayables en la determinación de la cobertura de esos derechos. Y todo ello, sin perjuicio de que esas garantías puedan y deban activar el contenido de cada derecho y libertad hasta alcanzar la densidad asegurada en cada caso por nuestro Derecho interno y cuyo resultado, entonces, podría incrementar la tutela inicial.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como afirmamos en la Declaración 1/2004, de 13 de diciembre, FJ 6, “[e]l valor interpretativo que, con este alcance, tendría la Carta en materia de derechos fundamentales no causaría en nuestro Ordenamiento mayores dificultades que las que ya origina en la actualidad el Convenio de Roma de 1950, sencillamente porque tanto nuestra propia doctrina constitucional (sobre la base del art. 10.2 CE) como el mismo artículo II-112 (como muestran las ‘explicaciones’ que, como vía interpretativa se incorporan al Tratado a través del párrafo 7 del mismo artículo) operan con un juego de referencias al Convenio europeo que terminan por erigir a la jurisprudencia del Tribunal de Estrasburgo en denominador común para el establecimiento de elementos de interpretación compartidos en su contenido mínimo. Más aún cuando el art. I-9.2 determina en términos imperativos que ‘la Unión se adherirá al Convenio Europeo para la protección de los Derechos Humanos y de las Libertades Fundamentales’.” Y, a continuación, añade: “Por lo demás no puede dejar de subrayarse que el artículo II-113 del Tratado establece que ninguna de las disposiciones de la Carta ‘podrá interpretarse como limitativa o lesiva de los derechos humanos y libertades fundamentales reconocidos, en su respectivo ámbito de aplicación, por el Derecho de la Unión, el Derecho internacional y los convenios internacionales de los que son parte la Unión o todos los Estados miembros, y en particular el Convenio Europeo para la Protección de los Derechos Humanos y de las Libertades Fundamentales, así como por las Constituciones de los Estados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como se ha dicho, tanto la jurisprudencia del Tribunal Europeo de Derechos Humanos, como denominador común, como la referida Carta, vienen a garantizarnos unos contenidos mínimos en relación con los derechos fundamentales, a partir de los cuales se determinará en el orden interno el contenido asegurado por el Derecho propio, sin que, en ningún caso, pueda ser objeto de rebaja ese contenido mínimo garantizado por las normas del Convenio europeo de derechos humanos, según la interpretación que de las mismas realiza el Tribunal Europeo de Derechos Humanos y por las de la Carta de derechos fundamentales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Rebajar aquellas garantías mínimas definidas por el Tribunal Europeo de Derechos Humanos en los derechos coincidentes con los consagrados en nuestro texto constitucional es, precisamente, lo que de modo rotundo, en relación con el art. 18.2 CE, ocurre en la Sentencia de la que discrepamos. En efecto, el pronunciamiento afirma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invocación realizada por el recurrente en amparo de la Sentencia del Tribunal Europeo de Derechos Humanos de 24 de abril de 2012, caso Yordanova y otros c. Bulgaria, no puede resultar de aplicación al caso que ahora contemplamos pues en aquélla se entiende que existe una discriminación étnica, cuya proscripción constituye la motivación de la Sentencia, circunstancia que no acontece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tanto acontece con la invocación del art. 8 CEDH ... que en modo alguno pueden entenderse infringidos por el acto administrativo dictado para la protección de la legalidad urbanística y la ejecución del mismo una vez adquirida firmeza, que requiere inexorablemente la entrada en el domicilio objeto de dicha resolución, para proceder a la demolición en ella acordada y cuya inviolabilidad es el derecho fundamental sobre el que se solicita amparo constitucional, puesto que el respeto al domicilio que proclama el alegado art. 8 CEDH tiene como límite, entre otros supuestos, que la entrada en el mismo sea precisa para la ejecución de un acto administrativo firme y consentido en una ponderación de adecuada proporcionalidad de la inmisión, como ya ha sido analizado.”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este modo de razonar, señaladamente porque la STEDH Yordanova y otros c. Bulgaria, de 24 de abril de 2012, resuelve, antes bien, un asunto fundamentalmente coincidente con el que nos ocupa en cuanto al problema jurídico-constitucional afrontado, sin que el factor de “discriminación étnica” excluya su proyección a casos como el actual, al no quedar condicionada a la concurrencia de aquella discriminación la doctrina sentada sobre el art. 8 CEDH. La confirmación definitiva de lo que afirmamos se obtiene de la STEDH de 17 de octubre de 2013, caso Winterstein y otros c. Francia, que aplica la Sentencia Yordanova ratificando, sin sombra alguna de incertidumbre, en el citado art. 8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constitucional de la que nos apartamos desatiende abierta y sin matización alguna las declaraciones que encierran los pronunciamientos que se vienen de mencionar, en los que el Tribunal Europeo de Derechos Humanos, valorando la necesidad y proporcionalidad de las medidas de desalojo, sienta una serie de criterios que es dable recoger sintéticamente del modo siguiente: a) que aun teniendo en cuenta que nos situamos en el ámbito de aplicación de políticas sociales y económicas, al estar implicado en estos supuestos el derecho a la vivienda junto con el derecho a la no injerencia en el domicilio, el amplio margen de apreciación nacional aparece modulado por el art. 8 CEDH, ya que éste es decisivo para el disfrute efectivo de derechos íntimos; derechos de una importancia crucial para la identidad de la persona, su autodeterminación, su integridad psíquica y moral, el mantenimiento de sus relaciones sociales y su estabilidad y seguridad en la sociedad; b) que adquiere una gran importancia el análisis del respeto a las salvaguardias de procedimiento disponibles para el individuo, de suerte que deberá examinarse si el proceso de toma de decisiones de las medidas restrictivas de derechos fue equilibrado y suficiente para satisfacer los intereses protegidos por el art. 8 CEDH; c) que, considerando que la pérdida del hogar es una forma extrema de intervención en el derecho recogido en el art. 8 CEDH, cualquier persona en riesgo de sufrirla debe tener la garantía de que la medida será proporcionada y razonable, y de que esa proporcionalidad y razonabilidad las valorará un tribunal independiente; d) que éste último elemento integra el derecho a que, cuando el demandante haya esgrimido argumentos sobre la proporcionalidad de la intervención en los procesos judiciales internos, los tribunales nacionales procedan a examinarlos en detalle y aportarán razones adecuadas para la estimación o desestimación de tales argumentos; e) que si bien la injerencia del Estado en el derecho a la inviolabilidad del domicilio ex art. 8 CEDH puede tener una base legal en Derecho interno, es preciso justificar ad casum que es precisa la medida en una sociedad democrática para alcanzar un fin legítimo, por existir una necesidad social imperiosa; f) que en el juicio que corresponde realizar sobre ese particular, resulta obligado valorar diversos factores, entre otros que la recuperación se refiera, en su caso, a terrenos cuya ocupación ha sido tolerada desde tiempo atrás; que existan o no otros medios para resolver el problema; que concurra urgencia, que se atiendan suficientemente las necesidades de las familias afectadas y las consecuencias de su expulsión, señaladamente cuando se trata de situaciones de gran precariedad, y g) finalmente, que los supuestos en los que está en juego una comunidad entera y un asentamiento de larga duración deben ser tratados de forma absolutamente diferente de los asuntos referidos a la expulsión de un individuo de una propiedad que ocupe ilegalmente.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consideraciones del Tribunal Europeo de Derechos Humanos, que han sido expuestas sintéticamente, debían haber sido objeto de reflexión, razonamiento y aplicación en la Sentencia constitucional, que ha preferido abstenerse de ello escudándose en el factor étnico, al que de manera errada atribuye un efecto de la activación de la doctrina de referencia, descartándola en el caso enjuiciado. La Sentencia que resuelve el presente proceso constitucional lo interpreta en esos términos, a pesar de que resulta de toda evidencia que ese factor de la discriminación étnica, como otros similares que se dan en la STEDH de 17 de octubre de 2013, aunque confluyan ciertamente en los casos examinados y sean considerados por las Sentencias del Tribunal de Estrasburgo, ni condicionan ni se precisan para la efectividad de la tutela definida. La lectura de esos pronunciamientos lo muestra con tal trasparencia que no podemos sino remitirnos a ellos, sin dialogar en divergencia con la Sentencia de la que discrepamos, pues es ésta la que choca frontalmente con las pautas de protección allí sentadas y con el encuadramiento que el Tribunal Europeo de Derechos Humanos realiza de esa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resultado de la debida atención y aplicación de esos parámetros de cobertura hubiera sido, a nuestro parecer, la estimación del presente recurso de amparo. La Sentencia de la mayoría, por el contrario, opta por la desestimación.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fin, declara, manejando un canon que califica de proporcionalidad, que “nos encontramos ante un caso en el que la Administración intenta ejecutar forzosamente el contenido de una resolución que ha dictado previamente y que el afectado se ha negado a cumplir voluntariamente”; que “el derecho a la inviolabilidad domiciliaria no se ve vulnerado por los acuerdos administrativos anteriores pues la propia actuación del recurrente al reconstruir inmediatamente lo demolido por la primera orden administrativa municipal, provoca la inexistencia de solución de continuidad del procedimiento administrativo, no siendo legítimo impetrar el amparo constitucional por unos alegados e inexistentes defectos formales provocados por el propio recurrente, mediante una causa torpe, al reconstruir al día siguiente de la demolición lo que desde el inicio vulneraba la disciplina urbanística, siendo esta cuestión un acto firme y consentido por el recurrente, que no puede por la vía del recurso contencioso administrativo ni de este recurso de amparo reabrir el debate jurisdiccional de lo que debió en su caso ser alegado y discutido en un recurso contencioso administrativo contra el expediente de disciplina urbanística y no contra la pura ejecución del mismo, en la solicitud de autorización judicial, no habiéndose acreditado por el recurrente la pendencia de recurso contencioso administrativo alguno contra la orden de demolición de la construcción”. Y para proseguir en esta línea argumentadora, más allá de la somera referencia que hace a los derechos educativos de los menores, alega que la Ley de la Comunidad de Madrid 2/2011, de 15 de marzo, de la cañada real Galiana (que el recurrente invocaba como alternativa legal a la realización de desalojos y demoliciones individuales por el Ayuntamiento de Madrid), “es posterior a las resoluciones administrativas firmes para cuya ejecución se impetraba la autorización judicial de entrada en domicilio, por lo que dicha solicitud de autorización de entrada en domicilio no vulneraba la aplicación de la referida norma legal, ni por tanto, las resoluciones judiciales que la autorizaron y ratificaron su autorización”. De todo lo cual concluirá razonando que, “en este caso, la ponderación de la necesidad de incidir en el derecho fundamental previsto en el artículo 18.2 CE, para la ejecución de la resolución administrativa no sólo es proporcionada sino la única posibilidad de su ejecución pues contiene el mandato de su desalojo y demolición y no como pretende el recurrente que la ponderación de proporcionalidad lo sea sobre otra posible solución administrativa eventual y futura que no constituye derecho alguno frente a la ilegalidad de la construcción, cuya cuestión fue firme y consentida en la vía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tipo de argumentos, que dan prioridad a la legalidad administrativa frente al derecho fundamental, entran en manifiesta e insalvable colisión con las determinaciones de la jurisprudencia del Tribunal Europeo de Derechos Humanos. Por lo pronto, por no tener en cuenta que el procedimiento seguido no es ni ejemplar ni notable desde el punto de vista de sus garantías, como requería una incidencia tan grave en el derecho fundamental, más cuando existían alternativas de tramitación mucho más seguras para los derechos en juego. De seguido, por dejar fuera del debate que el conflicto planteado es decisivo para el disfrute efectivo de derechos íntimos y que la pérdida del hogar es una forma extrema de injerencia. En tercer lugar, por no identificar cuál es la necesidad social imperiosa que justificaría la intervención, ni razonar la urgencia de la misma. En cuarto lugar, por no considerar tampoco, adicionalmente, la confianza generada en años por la tolerancia de la Administración al asentamiento, ni valorar siquiera de manera superficial la posible existencia de otros medios menos invasivos del derecho. A continuación y en quinto lugar, por guardar un doloroso silencio sobre las necesidades de las familias afectadas y las consecuencias de su expulsión. Y finalmente y no es lo de menos, por abordar el recurso de amparo sometido a nuestra decisión a través de un método que posterga de manera ostentosa que en este litigio está en juego una comunidad entera y un asentamiento de larga duración, no una actuación singular irregular, circunstancia que ha llevado a la propia Comunidad de Madrid a buscar soluciones en una ley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aplicación de un juicio sustantivo de proporcionalidad, las anteriores observaciones nos obligan a valorar negativamente la Sentencia aprobada, tanto por el trato dispensado al examen de las garantías del procedimiento administrativo, como por el inane juicio de fondo que efectúa.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relación a lo primero, se advierte que la Administración municipal podría haber sido más escrupulosa, como con acierto recuerda el Ministerio Fiscal, en el respeto a las garantías del procedimiento administrativo, como era menester al estar comprometidos derechos tan sensibles. Así, por ejemplo, podría haber emitido una nueva orden de demolición aplicable a la segunda vivienda construida por el recurrente, en lugar de acudir a la de 23 de junio de 2005 sin exponer las razones por las cuales no era necesaria una nueva orden de demolición; podría haber dictado un nuevo acuerdo de ejecución subsidiaria previo a la solicitud de intervención judicial, en lugar de invocar reiterativamente al de 14 de abril de 2008, desestimado en primer término por el Juez competente; y podría haber indicado, sin inducir a errores, que el acuerdo de ejecución subsidiaria 14 de abril de 2008 era susceptible de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de fondo es aún más patente que la motivación de la autorización judicial de entrada no respeta las pautas de proporcionalidad exigibles. Fundamentalmente, porque las resoluciones judiciales a examen, incluida la de este Tribunal de la que ahora se discrepa, más allá de las declaraciones solemnes formuladas, carentes, sin embargo, de plasmación sustantiva en la solución del asunto, se han aproximado al caso desde la irregularidad de la edificación, para desembocar luego, a partir de ella, en un análisis externo de legalidad del procedimiento de entrada llevado a efecto, soslayando en cambio los perfiles sustantivos a los que venimos aludiendo. Una prueba de ello, que se suma a las que acabamos de enunciar en el último párrafo del número anterior, reside en la resistencia a ponderar la relevancia de la Ley 2/2011, cuya entrada en vigor, a nuestro juicio, debería haber supuesto automáticamente, aun en ausencia de previsión expresa, la paralización de todo procedimiento de desalojo y derribo en marcha, y por tanto la denegación de toda autorización de entrada vinculada a tales procedimientos. No es casual que esa ley contemple un mecanismo alternativo al desalojo con el designio de lograr una solución integral al asentamiento irregular de la cañada real. Las dos resoluciones judiciales impugnadas fueron dictadas tras la entrada en vigor de la citada ley, sin que ese hecho hubiera sido en absoluto ponderado, ni en el proceso judicial ni en el constitucional, para analizar la proporcionalidad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tanto silencio sobre el particular, como decimos, la citada Ley 2/2011 prevé para la futura resolución de la situación de las viviendas ilegales construidas en la cañada real, en su disposición adicional primera, que “atendiendo a la diversidad de circunstancias que se dan en los terrenos desafectados, de acuerdo con lo que establece el artículo 3.3 de esta Ley, las Administraciones con competencia en la materia acordarán los mecanismos e instrumentos de colaboración y cooperación que sean necesarios para llevar a cabo un acuerdo marco para resolver todas las cuestiones derivadas de la ocupación, desafectación y destino de los terrenos de la Cañada Real Galiana objeto de la presente Ley, dando en todo el proceso participación a los afectados debidamente representados por asociaciones acreditadas.” A la vista de ello, no termina de comprenderse cómo podría efectuarse un verdadero juicio de proporcionalidad, no necesariamente ajeno al de coherencia con la propia producción normativa, ni tampoco necesariamente extraño a la regulación legal sobrevenida, sin tomar en consideración que la actuación administrativa en el caso de autos contradice esa fórmula legalmente prevista y menos invasiva del derecho fundamental para el restablecimiento de la legalidad urbanística.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el juicio de proporcionalidad efectuado por la sentencia constitucional, se olvida, además, que debía haberse atendido al hecho del consentimiento previo, o tolerancia de facto, de la Administración al asentamiento irregular. Aun siendo un aspecto resaltado en la STEDH de 24 de abril de 2012, caso Yordanova y otros c. Bulgaria, y también en la más reciente STEDH de 17 de octubre de 2013, caso Winterstein y otros c. Francia, que acoge la doctrina de la anterior, la Sentencia aprobada por la Sala lo relega de una manera asombrosa, al menos si recordamos que en aquellos pronunciamientos se dispone que ese tipo de situaciones no pueden ser tratadas, por imperativo del principio de proporcionalidad, como las ordinarias concernientes a la expulsión de un individuo singular de una propiedad ocupada ilegalmente (§150 de la última Sentencia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Convendrá señalar que, como expresión singular de la seguridad jurídica, el tradicional esquema de la expectativa legítima, o protección de la confianza, propicia una respuesta de tutela ante normas sobrevenidas o actos administrativos que sorprenden la confianza generada al administrado. La estabilidad de la situación creada representa, así pues, un freno a la alteración inesperada, a la quiebra de una esperanza fundada que la propia Administración ha hecho concebir. La delimitación del principio apunta a la previsibilidad de lo esperado, a la inclusión en su ámbito de la protección de las expectativas, no sólo de los derechos adquiridos, a la dimensión subjetiva de una esperanza de base objetiva (posibilidad de apreciación de su razonabilidad en la consideración de un observador externo) y a la necesidad de ponderación de los intereses en contraposición.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en el que no se ofrecen ni medidas transitorias ni de protección alternativa, ni tampoco concurre un interés público perentorio para justificar la exclusión de la expectativa generada, se aprecia por el contrario, abiertamente, la concurrencia de esta última. En efecto, como de la propia exposición de motivos de la Ley 2/2011 se desprende, el domicilio del recurrente en amparo se encuentra dentro de un asentamiento consentido por la Administración y en vías de regularización. Desde ese prisma debía haberse realizado un esfuerzo adicional de justificación de la proporcionalidad de la medida de autorización de entrada en el domicilio, como medida previa a su desalojo y derribo, especialmente si se tiene en cuenta que la Ley 2/2011 entró en vigor con anterioridad al momento en que se produce la identificada por las resoluciones aquí recurridas como autorización judicial de la segunda demolición.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Sentencia tampoco explora la conexión del derecho del art. 18 CE con el art. 47 CE, ni con otros principios rectores consagrados en la Constitución. Se conforma con decir que “por lo que se refiere al derecho del art. 47 CE (que no es de los comprendidos en el art. 53.2 de la Constitución), no se observa en el caso la incidencia de tal derecho en la inviolabilidad domiciliaria, cuando sólo se debate la necesidad y proporcionalidad de la entrada en el domicilio del recurrente, pues la demolición de la vivienda fue ya acordada con carácter de firmeza por la Administración municipal”.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tipo de conexiones entre derechos fundamentales y principios rectores son comunes en nuestra jurisprudencia, al punto de que en ocasiones hemos llegado a reforzar el canon del art. 24.1 CE (en su vertiente de motivación de las resoluciones judiciales) por estar implicadas en el supuesto de hecho previsiones constitucionales de ese carácter. La STC 95/2000, de 10 de abril, es un buen ejemplo: “La trascendencia constitucional del defecto apreciado se intensifica teniendo en cuenta que aquella desestimación ha perjudicado el acceso de la Sra. ... a la asistencia sanitaria proporcionada por el sistema público de Seguridad Social y, en último término, a la protección de la salud a la que se refiere el art. 43 CE. La razonabilidad de las decisiones judiciales es también una exigencia de adecuación al logro de los valores, bienes y derechos constitucionales (STC 82/1990, de 4 de mayo, FJ 2, 126/1994, de 25 de abril, FJ 5) y, desde esa perspectiva, debe recordarse que los principios rectores de la política social y económica, entre los que se encuentra el precepto citado, no son meras normas sin contenido (STC 19/1982, de 5 de mayo, FJ 6) sino que, por lo que a los órganos judiciales se refiere, sus resoluciones habrán de estar informadas por su reconocimiento, respeto y protección, tal como dispone el art. 53.3 CE. De ese modo, una decisión que no sólo se adopta sobre una conclusión que contradice los hechos sino que, además, desconoce la orientación que debió tener la aplicación de la legalidad, acentúa la falta de justificación y de razonabilidad de la resolución impugnada, como ya mantuvimos en nuestra STC 126/1994, de 25 de abril”. Es decir, una resolución que en otro escenario sería respetuosa del art. 24.1 CE (derecho a la motivación) puede llegar a ser lesiva por no atender a la orientación que impone el principio rector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 había establecido el Tribunal en esa Sentencia para el art. 24.1 CE, con más razón debe extenderse a derechos sustantivos. Así ocurrió, por poner únicamente un ejemplo entre tantos otros posibles, en la STC 154/2006, en un tema de discriminación por razón de nacimiento, en la que se hizo constar: “En contra de esa exigencia constitucional, la interpretación que realiza la resolución impugnada, formalmente neutra, discrimina de modo indirecto a los hijos extramatrimoniales (art. 14 en relación con los arts. 39 y 41 CE): el art. 39.3 CE, cuyo texto refleja una directa conexión con el art. 14 CE, impone a los padres el deber de ‘prestar asistencia de todo orden a los hijos habidos dentro o fuera del matrimonio’ y, sin embargo, con aquella interpretación, las realidades familiares extramatrimoniales estarían en peores condiciones para prestar tal asistencia a unos ‘hijos habidos ... fuera del matrimonio’, es decir, éstos, en el terreno de dicha asistencia, serían de peor condición que los hijos matrimoniales”.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entiende que la ponencia no se ocupe materialmente de la conexión del art. 18.2 con el art. 47 CE, incluso con la protección de la familia del art. 39 CE, indudablemente en juego en estas situaciones, o con el interés del menor contenido en el art. 39.4 CE, que queda con seguridad implicado en este juicio concreto de inviolabilidad domiciliaria, al existir menores perjudicados por esta demolición.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todas estas razones, que evidencian la minusvaloración de elementos sustantivos imprescindibles en la resolución del recurso, la Sentencia que puso fin al presente proceso constitucional debió reconocer la violación por los actos administrativos y las resoluciones judiciales impugnadas del art. 18.2 CE. La estimación del amparo resultaba ser así la única respuesta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noviembre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