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260</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13 de noviembre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abril de 2013, el Procurador de los Tribunales don Pablo Sorribes Calle, en nombre y representación de Rolser, S.A., interpuso demanda de amparo contra el Auto de la Sala de lo Civil del Tribunal Supremo de 5 de marzo de 2013, por el que se inadmite el recurso de casación núm. 1328-2012, interpuesto contra la Sentencia de la Sección Octava de la Audiencia Provincial de Alicante de 22 de marzo de 2012, dictada en el rollo de apelación núm. 805-2011, dando lugar al recurso de amparo núm. 2575-2013,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28 de octubre de 2013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2575-2013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