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18 de julio de 2013, el Abogado del Estado, en nombre del Presidente del Gobierno, presentó recurso de inconstitucionalidad contra la Ley de las Cortes Valencianas 5/2012, de 15 de octubre, de uniones de hecho formalizadas de la Comunitat Valenciana. En el escrito de interposición el Abogado del Estado hizo invocación expresa del art. 161.2 CE, a los efectos de que se acordase la suspensión de la vigencia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septiembre de 2013 el Pleno de este Tribunal, a propuesta de su Sección Cuarta, acordó admitir a trámite el recurso de inconstitucionalidad y dar traslado de la demanda y documentos presentados, conforme establece el art. 34 de la Ley Orgánica del Tribunal Constitucional (LOTC), al Congreso de los Diputados, al Senado, al Gobierno de la Generalitat Valenciana y a las Cortes Valencianas, por conducto de sus Presidentes, al objeto de que en el plazo de quince días pudieran personarse en el proceso y formular las alegaciones que estimasen convenientes. Asimismo, se tuvo por invocado por el Presidente del Gobierno el art. 161.2 CE, lo que, a su tenor y conforme dispone el art. 30 LOTC, produjo la suspensión de la vigencia y aplicación de la Ley impugnada, desde la fecha de interposición del recurso (el 18 de julio de 2013) para las partes del proceso y desde el día que apareciese publicada la suspensión en el “Boletín Oficial del Estado” para los terceros, lo que se comunicó a los Presidentes del Gobierno de la Generalitat Valenciana y de las Cortes Valencianas. Finalmente, se acordaba publicar la incoación del proceso en el “Boletín Oficial del Estado” (lo que se produjo el 14 de septiembre de 2012) y en el “Diari Oficial de la Generalitat Valenciana” (lo que tuvo lugar el 18 de octubre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a través de escrito registrado el 18 de septiembre de 2013, comunicó que la Mesa de la Cámara, en su reunión del día 17 de septiembre, había acordado personarse en este procedimiento y ofrecer su colaboración a los efectos del art. 88.1 LOTC. Otro tanto hizo la Presidenta en funciones del Congreso de los Diputados, por escrito registrado el día 19 de septiembre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1 de octubre de 2013, el Director General de la Abogacía General de la Generalitat Valenciana se personó en la representación que legalmente ostenta, solicitando una prórroga del plazo concedido para la formulación de alegaciones, prórroga que le fue concedida por providencia del Pleno de 2 de octubre de 2013. Tras ello, el 22 de octubre aportó el escrito de alegaciones oponiéndose a la estimación del recurso de inconstitucionalidad y solicitando, por medio de otrosí, el levantamiento anticipado de la suspensión de la Ley impugnada.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tras reproducir la doctrina constitucional sobre la materia, concluye que el objeto del presente proceso constitucional es una Ley emanada del órgano directamente conectado con la voluntad popular, de tal suerte que el mantenimiento de la suspensión ha de reputarse excepcional y siempre que el Presidente del Gobierno demuestre que la aplicación de la norma produciría perjuicios graves e irreparables para el interés general o de terceros afectados. Sostiene que por coherencia con el principio de presunción de legitimidad de las normas y de la actuación constitucional de los poderes públicos, deberá acordarse el levantamiento de la suspensión de todos aquellos preceptos respecto de los cuales no se llegue a demostrar la producción de tales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tanto la Ley 10/2007, de 20 de marzo, que regula el régimen económico matrimonial valenciano, como la Ley 5/2011, de 1 de abril, de relaciones familiares de los hijos e hijas cuyos progenitores no conviven, también impugnadas por el Presidente del Gobierno, fueron suspendidas automáticamente como consecuencia de la interposición de sendos recursos de inconstitucionalidad, no obstante lo cual este Tribunal Constitucional levantó posteriormente la medida de suspensión. Por último, niega la irreparabilidad o grave dificultad de reparación de las situaciones que pudieran generarse con el alzamiento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octubre de 2013 se personó el Letrado Mayor de las Cortes Valencianas en representación de la Cámara autonómica, oponiéndose a la 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23 de octubre de 2013 el Pleno del Tribunal acordó dar traslado al Abogado del Estado y a las Cortes Valencianas del escrito en el que la Generalitat Valenciana solicita el levantamiento de la suspensión de la Ley impugnada, concediendo un plazo de cinco días para que alegasen lo que estimasen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30 de octubre de 2013 presentó sus alegaciones el Abogado del Estado, solicitando el mantenimiento de la suspensión de la Ley impugnada. Tras recordar la doctrina general del Tribunal sobre la materia, se detiene en poner de manifiesto que la finalidad de la Ley de las Cortes Valencianas 5/2012, de 15 de octubre, es dotar a las uniones de hecho de un marco jurídico completo, lo que supone un exceso competencial, al menoscabar la competencia exclusiva del Estado en materia de legislación civil (art. 149.1.8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que la Ley impugnada se enmarca en el declarado propósito del legislador valenciano de propiciar la recuperación de un completo Derecho civil especial valenciano, que desplazaría en la Comunidad Autónoma de Valencia al Derecho común, relegándolo a ser un Derecho puramente supletorio, aplicable en defecto de ley, costumbre o principios generales del Derecho valenciano. A tal fin, un primer paso en la plena recuperación de los antiguos fueros valencianos fue la Ley 10/2007, de 20 de marzo, que reguló con vocación de generalidad el régimen económico matrimonial valenciano. A su vez, la Ley 5/2011, de 1 de abril, de relaciones familiares de los hijos e hijas cuyos progenitores no conviven, constituyó un segundo paso en la ejecución de la voluntad declarada por el legislador valenciano de desplazar completamente al Código civil (CC), regulando los efectos comunes a la nulidad, separación y divorcio y más genéricamente algunos aspectos de las relaciones paternofiliales. La Ley ahora impugnada constituye un nuevo paso en el mismo sentido.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Abogado del Estado señala los específicos perjuicios que ocasionaría la vigencia de concretos artículos de la Ley. En particular, alega que, por el juego del art. 2 de la Ley, el conjunto de disposiciones con consecuencias económicas reguladas en los arts. 6 (revocación de poderes), 7 (libertad de regulación), 10 (disposición de la vivienda habitual), 11 (responsabilidad patrimonial) y 12 (ajuar doméstico y uso de la vivienda) trascienden el ámbito territorial propio de la Comunidad Autónoma Valenciana, al integrarse dentro de lo que serían los efectos determinados por su ley personal, afectando al tráfico jurídico privado más allá de este ámbito territorial. Por su parte, el art. 13 equipara al conviviente con el cónyuge a los efectos del ejercicio de acciones relacionadas con la capacidad de las personas, prodigalidad, ausencia, fallecimiento y desempeño de las funciones de tutela y curatela; de levantarse la suspensión, se produciría una alteración del régimen de los llamados a ejercer la tutela o la curatela. Y el art. 14 contiene una nueva regulación de los derechos sucesorios, equiparándose la figura del conviviente supérstite con la del cónyuge supérstite, lo que implica una alteración tanto del régimen de las legítimas como de la sucesión intestada; de levantarse la suspensión, los perjuicios serían imprevisibles y de muy difícil reparación, ya que determinarían una alteración de la sucesión del causante, imponiendo cargas hereditarias (así, el usufructo del cónyuge viudo ex art. 834 CC) a los hijos mejorados si los hubiere o a los padres del causante. Y al equiparse al cónyuge supérstite, se alteran los llamamientos en el caso de sucesión intestada, pues la pareja de hecho heredaría en defecto de descendientes y ascendientes; y antes que los colaterales (art. 944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Abogado del Estado aduce ciertos perjuicios generales que ocasionaría el levantamiento de la suspensión. En primer, lugar se produciría el bloqueo de la competencia estatal sobre legislación civil, dado que el legislador valenciano está ejecutando el mencionado plan consiste en aprobar un verdadero sistema civil propio que se integraría en un futuro código civil valenciano, desplazando en la Comunidad Autónoma al Código civil, que quedaría como puro Derecho supletorio. En segundo lugar, se afectaría a la seguridad jurídica, pues la inmediata aplicación de la Ley supondría la creación de situaciones de hecho y de derecho de imposible o difícil reversión en el caso de que prosperase el recurso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el Abogado del Estado que este Tribunal Constitucional ha sentado una consolidada doctrina sobre la interpretación del art. 149.1.8 CE (expresamente aplicada a la Comunidad Valenciana por la STC 121/1992, de 28 de septiembre), de acuerdo con la cual sería preciso que se acreditase la subsistencia a día de hoy de costumbres derivadas de los antiguos fueros valencianos que tengan una conexión material con las uniones de hecho.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pone de manifiesto que este Tribunal en ocasiones precedentes ha mantenido la suspensión de la vigencia de preceptos cuyo contenido coincida con otros que ya hubiesen sido declarados inconstitucionales. En este sentido, la STC 93/2013, de 23 de abril, sobre la Ley Foral de Navarra 6/2000, de 3 de julio, para la igualdad jurídica de las parejas estables, declaró inconstitucional un conjunto de preceptos, por vulneración del art. 10.1 CE, en cuanto recogían normas de carácter imperativo, como ocurre con los arts. 4.2 y 6 a 12 de la Ley valenciana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4 de noviembre de 2013 el Letrado Mayor de las Cortes Valencianas presentó escrito adhiriéndose a la petición de levantamiento de la suspensión de la Ley y a las razones aducidas a tal fin por el Director General de la Abogacía General de la Generalitat Valenciana.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en relación con el art. 30 de la Ley Orgánica del Tribunal Constitucional (LOTC), procede levantar o mantener la suspensión que afecta a la vigencia de la Ley 5/2012, de 15 de octubre, de uniones de hecho formalizadas de la Comunitat Valenciana; la cual se encuentra suspendida en su aplicación como consecuencia de la invocación del art. 161.2 CE por el Presidente del Gobierno de la Nación al interponer el presente recurso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de las Cortes Valencianas 5/2012, de 15 de octubre, tiene por objeto regular los derechos y deberes de quienes son miembros de las uniones de hecho formalizadas, entendiendo por tales las formadas por dos personas que, con independencia de su sexo, convivan en una relación de afectividad análoga a la conyugal y cumplan los requisitos de inscripción que la propia Ley contempla.</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La Ley se dicta, de acuerdo con su disposición final primera, al amparo de la competencia que el art. 49.1.1 y 2 del Estatuto de Autonomía de la Comunidad Valenciana atribuye a la Generalitat para la “organización de sus instituciones de autogobierno, en el marco de este Estatuto” y la “conservación, desarrollo y modificación del Derecho civil foral valenciano”. De hecho, el recurso promovido en nombre del Presidente del Gobierno se basa en la extralimitación de la competencia autonómica derivada de las previsiones de los citados preceptos del Estatuto de Autonomía de la Comunidad Valenciana, en la redacción que a los mismos ha dado la Ley Orgánica 1/2006, de 10 de abril, y la consiguiente vulneración de la competencia estatal en materia de legislación civil del art. 149.1.8 CE; y alegando, adicionalmente, la infracción del art. 10.1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procesal de la Generalitat Valenciana ha solicitado el levantamiento anticipado de la suspensión sin esperar al transcurso de los cinco meses previstos en el art. 161.2 CE, solicitud viable procesalmente, pues, conforme a nuestra doctrina, los cinco meses a los que hace referencia el citado precepto constitucional son, precisamente, el límite máximo inicialmente previsto para la suspensión, incluyéndose entre las potestades de este Tribunal la de ratificar o levantar la suspensión dentro de ese plazo (por todos, ATC 75/2010, de 30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propio tiempo debemos recordar que sobre este tipo de incidentes de suspensión existe una consolidada doctrina constitucional, de acuerdo con la cual, “para decidir acerca del mantenimiento o levantamiento de la misma, es necesario ponderar, de un lado, los intereses que se encuentran afectados, tanto el general y público, como, en su caso, el particular o privado de las personas afectadas, y, de otro, los perjuicios de imposible o difícil reparación que puedan derivarse del mantenimiento o levantamiento de la suspensión. Esta valoración ha de efectuarse mediante el estricto examen de las situaciones de hecho creadas y al margen de la viabilidad de las pretensiones que se formulan en la demanda. Debe tenerse presente asimismo que la prolongación de la suspensión, que impide el normal despliegue de la eficacia de las leyes y demás disposiciones de las Comunidades Autónomas, es una medida que debe tomarse con sumo cuidado y con carácter excepcional, pues sólo así se evitará en este trámite un indebido bloqueo del ejercicio de sus competencias por las Comunidades Autónomas, lo que implica también que la ratificación de la inicial suspensión automática requiere que el Gobierno, a quien se debe la iniciativa determinante de esta medida excepcional, aporte argumentos o razones que la justifiquen y que han de llevar a la conclusión de que si no se mantuviera la suspensión se producirían previsiblemente graves perjuicios al interés general y, en su caso, a los de aquellos sujetos afectados por la norma impugnada y todo ello sobre la base del rechazo de la alegación de perjuicios meramente hipotéticos, puesto que la suspensión solamente procede en presencia de perjuicios ciertos y efectivos, en ausencia de los cuales ha de atenderse a la presunción de validez propia de las leyes” (ATC 156/2008, de 12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quedado reflejado con más detalle en los antecedentes de esta resolución, el Abogado del Estado asocia el levantamiento de la suspensión que pesa sobre la Ley 5/2012, de 15 de octubre, a la producción de perjuicios en dos ámbitos distintos. Por un lado, aquellos que califica como perjuicios generales que ocasionaría el levantamiento de la suspensión que afecta a la Ley; y, de otra parte, los perjuicios específicos vinculados a la vigencia de concretos preceptos de la norma impugnada, a los que aludiremos posteriormente.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los perjuicios que el Abogado del Estado denomina generales han sido ya examinados en dos ocasiones precedentes: en los AATC 156/2008, de 12 de junio (a propósito de la Ley de las Cortes Valencianas 10/2007, de 20 de marzo); y 161/2011, de 22 de noviembre (en relación con la Ley de las Cortes Valencianas 5/2011, de 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efecto, en relación con el denunciado proceso de codificación del Derecho civil valenciano procede recordar que, en respuesta a la misma alegación, señalamos en el ATC 156/2008, de 12 de junio, FJ 8, que “las críticas formuladas por el Abogado del Estado al pretendido ejercicio por el legislador valenciano del poder de codificar el Derecho civil remiten más bien al juicio sobre la validez constitucional de su actuación a la luz del orden constitucional y estatutario de distribución de competencias lo cual supone un análisis del fondo del asunto que resulta vedado en incidentes de esta naturaleza”.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los perjuicios que, de levantarse la suspensión de la Ley impugnada, padecería la seguridad jurídica, ya señalamos que las divergencias de carácter competencial no pueden, por ese solo hecho, llevar irremisiblemente en los procesos en los que se ventilen cuestiones de este tipo a la suspensión de la norma autonómica, pues ello conduciría siempre al mantenimiento de la suspensión de las normas autonómicas impugnadas cuando de lo que se trata en este incidente es de, prescindiendo de la existencia de la contradicción entre la norma estatal y la autonómica, alegar y acreditar la irreparabilidad de los perjuicios que se derivarían de la vigencia y aplicación de la ley autonómica. Como ya apreciamos en el citado ATC 156/2008, de 12 de junio, FJ 6, “con la argumentación utilizada por el Abogado del Estado bastaría con que la norma autonómica impugnada en el proceso principal contradijera lo dispuesto en otra estatal no cuestionada constitucionalmente para que resultase procedente el mantenimiento de la suspensión de la primera, pues las diferenciaciones que el Abogado del Estado menciona obedecen a la existencia de dos normas diferentes, duplicidad que no conlleva, por si misma, perjuicios que determinen la decisión relativa al mantenimiento o levantamiento de la suspensión acordada, pues de lo que se trata en este incidente es de demostrar que, más allá de la existencia de un conflicto entre dos normas, aparecen concretos perjuicios irreparables derivados de la vigencia y aplicación de la norma autonómica durante la pendencia del proceso” (en iguales términos, el ATC 161/2011, de 22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Alega también el Abogado del Estado la apariencia de buen derecho del recurso de inconstitucionalidad, tanto por la manifiesta falta de cobertura competencial de la Ley autonómica como porque algunos de los preceptos autonómicos impugnados resultan semejantes a otros ya declarados inconstitucionales (los arts. 4.2 y 6 a 12 de la Ley), en cuanto contienen normas de carácter imperativo que pugnan con el art. 10.1 CE, similares a las que fueron declaradas inconstitucionales por la STC 93/2013, de 23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debemos descartar la pretensión del Abogado del Estado de sustentar la suspensión en una apariencia de buen derecho del recurso de inconstitucionalidad, ante la falta de cobertura competencial de la norma autonómica y el bloqueo de las competencias estatales, dado que esa es la cuestión de fondo de este proceso constitucional, esto es, dilucidar conforme al art. 149.1.8 CE la relación entre la legislación civil del Estado y el Derecho civil valenciano (ATC 156/2008, de 12 de junio, FJ 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hemos de recordar la cautela necesaria a la hora de trasladar lo declarado por este Tribunal en materia de Derecho civil respecto de una Comunidad Autónoma a otra, pues el art. 149.1.8 CE hace necesario examinar la competencia asumida por cada Estatuto respecto del Derecho foral “allí donde subsista”, en su caso. Con todo, y sin prejuzgar la cuestión de fondo, frente al carácter imperativo que apreciamos en la invocada STC 93/2013, de 23 de abril, FJ 9, respecto de diversos preceptos de la Ley Foral de Navarra 6/2000, de 3 de julio, incompatible con el régimen dispositivo que resulta acorde a las características de las uniones de hecho y a las exigencias del libre desarrollo de la personalidad recogido en el art. 10.1 CE, en el presente caso el art. 2.1 de la Ley valenciana ciñe su ámbito de aplicación a las uniones de hecho formalizadas, entendiendo por tales “aquellas en que consta su existencia, bien por declaración de voluntad de sus integrantes ante el funcionario encargado o la funcionaria encargada del Registro de Uniones de Hecho Formalizadas de la Comunitat Valenciana plasmada en la correspondiente inscripción o bien en otro documento público inscrito en el mencionado Registro, siempre que cumplan los requisitos que determina esta ley para ser tenidas por tales” (art. 3); de modo que la formalización de la unión de hecho se hace depender de la voluntad de quienes la integran, pues, tal y como se afirma en su exposición de motivos, “la Ley regula las uniones de hecho formalizadas, en las cuales quienes conviven manifiestan de forma expresa su voluntad de constituir una unión de hecho”, actuando la Ley “siempre en defecto de regulación particular”, siendo así que este principio de libertad “inspira todo el articulado de la presente ley, de modo que la configuración del régimen de convivencia será la que sus miembros hayan acordado atribuirse voluntariamente”.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Descartada la producción de los perjuicios derivados del levantamiento de la suspensión que el Abogado del Estado califica como generales, hemos de analizar a continuación los que vincula específicamente a la vigencia de preceptos concretos de la Ley impugnada.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alega que, por el juego del art. 2 de la Ley, el conjunto de disposiciones con consecuencias económicas reguladas en los arts. 6 (revocación de poderes), 7 (libertad de regulación), 10 (disposición de la vivienda habitual), 11 (responsabilidad patrimonial) y 12 (ajuar doméstico y uso de la vivienda) trascienden el ámbito territorial propio de la Comunidad Autónoma Valenciana, al integrarse dentro de lo que serían los efectos determinados por su ley personal, afectando al tráfico jurídico privado más allá de este ámbito territorial.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mencionado art. 2.1 de la Ley impugnada, al fijar su ámbito de aplicación, lo ciñe a quienes queden sujetos a la legislación civil valenciana conforme al Estatuto de Autonomía de la Comunidad Valenciana, y si sólo una de las partes estuviera sujeta al derecho civil valenciano, a las disposiciones estatales sobre resolución de conflictos de leyes.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que una ley civil autonómica pueda producir efectos entre quienes gocen de la correspondiente vecindad civil, pese a residir fuera de la Comunidad Autónoma, no es en sí mismo un perjuicio, siendo carga del Abogado del Estado alegar y acreditar los perjuicios irreparables o de difícil reparación que se producirían, en concreto, por la vigencia de los preceptos impugnados durante todo el tiempo que haya de durar el proceso constitucional (por todos, ATC 18/2007, de 18 de enero, FJ 5, y doctrina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Otro de los preceptos a los que el Abogado del Estado asocia perjuicios específicos es el art. 13 de la Ley, con arreglo al cual “quienes integren la unión de hecho formalizada se considerarán equiparados a los cónyuges en cuanto al ejercicio de las acciones relacionadas con las declaraciones de incapacidad, prodigalidad, ausencia, fallecimiento y desempeño de las funciones de tutela y de curatela”.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Ninguna argumentación aporta el Abogado del Estado respecto a eventuales perjuicios derivados del ejercicio de acciones relacionadas con las declaraciones de incapacidad, prodigalidad, ausencia, y fallecimiento, limitando sus alegaciones en este punto a la consideración de que, de levantarse la suspensión, se produciría una alteración del régimen de los llamados a ejercer la tutela, siendo preferido el conviviente al padre o padres del tutelado o sometido a curatela y a los hijos de éste, en el ejercicio de la tutela o curatela. Pero con la argumentación utilizada por el Abogado del Estado bastaría con que la norma autonómica impugnada en el proceso principal contradijera lo dispuesto en otra estatal para que resultase procedente el mantenimiento de la suspensión de la primera, pues las diferencias que el Abogado del Estado menciona obedecen a la existencia de dos normas distintas, pero de acuerdo con nuestra doctrina la duplicidad normativa no conlleva, por si misma, perjuicios determinantes de la decisión relativa al mantenimiento o levantamiento de la suspensión acordada (ATC 157/2008, de 12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el Abogado del Estado afirma también la existencia de perjuicios de difícil o imposible reparación derivados de la aplicación del art. 14 de la Ley, con arreglo al cual “si durante la unión de hecho formalizada tuviere lugar la muerte o la declaración de fallecimiento de alguna de las personas convivientes, quien sobreviva ocupará en la sucesión la misma posición que corresponde legalmente al cónyuge supérstite”.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Abogado del Estado que el precepto contiene una nueva regulación de los derechos sucesorios, equiparándose la figura del conviviente supérstite con la del cónyuge supérstite, lo que implica una alteración tanto del régimen de las legítimas como de la sucesión intestada. A su juicio, de levantarse la suspensión, los perjuicios serían imprevisibles y de muy difícil reparación, ya que determinarían una alteración de la sucesión del causante, imponiendo cargas hereditarias (así, el usufructo del cónyuge viudo ex art. 834 del Código civil: CC) a los hijos mejorados si los hubiere o a los padres del causante. Y al equiparse al cónyuge supérstite, se alteran los llamamientos en el caso de sucesión intestada, pues la pareja de hecho heredaría en defecto de descendientes y ascendientes; y antes que los colaterales (art. 944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preciso coincidir con el Abogado del Estado en que el precepto impugnado altera el orden común de sucesión mortis causa, afectando a las sucesiones deferidas durante el tiempo en que se levantara suspensión y posibilitando posteriores actos inter vivos de disposición o gravamen sobre los bienes heredados, en cuyo caso, el carácter irreivindicable de los bienes eventualmente adquiridos por terceros de buena fe en las condiciones establecidas en los arts. 464 CC y 34 de la Ley hipotecaria puede dar lugar a perjuicios de imposible o muy difícil reparación. Por ello, al igual que hicimos en el ATC 937/1987, de 21 de julio, en relación con la Ley de las Cortes Valencianas 6/1986, de 15 de diciembre, de arrendamientos históricos, procede mantener la suspensión del precepto autonómico, máxime cuando tal suspensión no impide conferir al conviviente de hecho la condición de heredero por vía testamentaria.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art. 14 de la Ley 5/2012, de 15 de octubre, de uniones de hecho formalizadas de la Comunitat Valenciana, levantándose la suspensión en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