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7 de enero de 2011, don Javier Cuevas Rivas, Procurador de los Tribunales y de doña Inmaculada Pacho Martín, interpuso recurso de amparo contra Auto de 12 de noviembre de 2010, de la Sección Segunda de la Sala de lo Penal de la Audiencia Nacional, que desestima el recurso de súplica planteado frente al Auto de 28 de septiembre de 2010, por el que se aprobó el licenciamiento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Acordada la admisión a trámite por la Sala Primera de este Tribunal mediante providencia de 26 de marzo de 2012, mediante diligencia de ordenación de 23 de octubre de 2013, se solicitó a la Audiencia Nacional que comunicara a este Tribunal cualquier resolución o incidencia procedimental que, a resulta de la STEDH de 21 de octubre de 2013, pudieran afectar a la situación del recurrente de amparo. Remitido por la Audiencia Nacional el Auto de 26 de noviembre de 2013 por el que se acordó la puesta en libertad de la recurrente, la Sala, por providencia de 16 de diciembre de 2013,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presentó alegaciones mediante escrito registrado el 13 de enero de 2014, en el que consideró que existía pérdida sobrevenida de objeto del recurso de amparo al haberse producido, tras la admisión de la demanda, la reparación por la Audiencia Nacional de la lesión del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Estado, por escrito de 19 de diciembre de 2013 consideró que procede declarar la pérdida sobrevenida de objeto en el presente recurso. El Ministerio Fiscal mediante escrito de 16 de enero de 2014, tampoco se opuso a tal declaración.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por Auto de la Sección Segunda de la Sala de lo Penal de la Audiencia Nacional de 26 de noviembre de 2013 se resolvió hacer extensiva la aplicación de la STEDH de 21 de octubre de 2013 por la similitud existente con las pretensiones del demandante de amparo. Y en consecuencia tomar como referencia el tope máximo de treinta años, para, a partir de él, hacer los descuentos que correspondan por redenciones, y acordar la libertad de la recurrente. En dicho Auto se acordó la inmediata puesta en libertad y se declararon extinguidas las responsabilidades penales.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reconocido como fecha de extinción de su condena el 11 de marzo de 2008 y procedido a la puesta en libertad del demandante, de conformidad con lo dispuesto en los arts. 80 y 86.1 de la Ley Orgánica del Tribunal Constitucional (LOTC), en relación con el art. 22 de la Ley de enjuiciamiento civil, procede declarar la perdida de objeto del presente recurso, en tanto que la continuación del proceso no satisface ningún interés, al haberse dejado sin efecto el acto lesivo reconociéndose como fecha de extinción de su condena —como pretendía el demandante a lo largo del procedimiento previo al amparo y mantiene en el presente recurso— el 11 de marzo de 2008, sin que conste que dicha resolución haya sido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