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25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día 10 de julio de 2013, al que se acompaña testimonio del Auto de 4 de abril de 2013, dictado en el procedimiento abreviado núm. 242-2012, el Juzgado de lo Contencioso-Administrativo núm. 3 de Vitoria plantea cuestión de inconstitucionalidad en relación con el art. 67.2 a) del Real Decreto Legislativo 339/1990, de 2 de marzo, por el que se aprueba el texto articulado de la Ley de tráfico, circulación de vehículos a motor y seguridad vial, en la redacción dada por la Ley 18/2009, de 23 de noviembre,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perjuicio de lo dispuesto anteriormente, en la imposición de sanciones deberá tenerse en cuenta que: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multa por la infracción prevista en el art. 65.5 j) será el doble de la prevista para la infracción originaria que la motivó, si es infracción leve, y el triple, si es infracción grave o muy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65.5 j), por su parte, dispone:</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“Son infracciones muy graves, cuando no sean constitutivas de delito, las siguientes conductas: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incumplimiento por el titular o el arrendatario del vehículo con el que se haya cometido la infracción de la obligación de identificar verazmente al conductor responsable de dicha infracción, cuando sean debidamente requeridos para ello en el plazo establecido. En el supuesto de las empresas de alquiler de vehículos sin conductor, la obligación de identificar se ajustará a las previsiones al respecto del art. 9 bis.”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Rafael Llavador Romero interpuso recurso contencioso-administrativo, seguido por el trámite del procedimiento abreviado, contra la resolución del Jefe provincial de Tráfico de Valladolid de 13 de abril de 2012, que desestimaba el recurso de reposición presentado frente a la resolución de 20 de febrero de 2012 del director del centro de tratamiento de denuncias automatizadas, que imponía al recurrente una sanción de 900 €. Esta última resolución fue dictada en el expediente sancionador número 47-945.142.539/0, tramitado por la infracción consistente en “no facilitar el titular o arrendatario del vehículo, debidamente requerido para ello, la identificación veraz del conductor del mismo en el momento de ser cometida una infracción”.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recurrente alegaba: i) que nunca recibió notificación fehaciente sobre la supuesta infracción y menos aún sobre el inicio del procedimiento sancionador; ii) que la vulneración de derechos fundamentales y la infracción de los principios que rigen la potestad sancionadora, las normas del procedimiento administrativo y los principios reguladores en materia de tráfico, circulación de vehículos a motor y seguridad vial, tuvieron lugar por la falta de audiencia en el expediente administrativo sancionador para la identificación del conductor del vehículo. Así, ni pudo conocerse la acusación formulada ni hubo oportunidad de defensa; garantías que no pueden entenderse subsanadas por la posibilidad de alegar, proponer y practicar prueba en el recurso contencioso-administrativo, ya que, conforme dispone el Tribunal Constitucional, rigen en el propio procedimiento administrativo sancionador; iii) que sufrió asimismo el principio de tipicidad, ligado indisolublemente con el principio de seguridad jurídica del art. 9.3 CE, pues se impuso una sanción por un hecho no constitutivo de infracción administrativa; iv) que, en su defecto, la graduación de la sanción no se corresponde con los criterios legales establecidos; v) que diversas previsiones normativas resultaron desatendidas: arts. 80 y 130 de la Ley 30/1992, de 26 noviembre, que establece que únicamente pueden ser sancionadas por hechos constitutivos de infracción administrativa las personas físicas y jurídicas que resulten responsables de los mismos; art. 69 del Real Decreto Legislativo 339/1990, de 2 marzo, que dispone que la responsabilidad por las infracciones recaerá directamente en el autor del hecho; y, asimismo, los arts. 12 y 13 del Real Decreto 320/1994, de 25 febrero, del Reglamento del procedimiento sancionador en materia de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Juzgado de lo Contencioso-Administrativo núm. 3 de Vitoria, mediante providencia de 21 de febrero de 2013, acordó abrir el trámite previsto en el 35.2 de la Ley Orgánica del Tribunal Constitucional (LOTC), oyendo a las partes y al Ministerio Fiscal sobre la pertinencia de plantear cuestión de inconstitucionalidad acerca de la “Posible inconstitucionalidad del artículo 67.2 a) de la Ley de Tráfico circulación de vehículos a motor y seguridad vial (aprobada por Real Decreto Legislativo 339/1990, de 2 de marzo), según redacción dada por Ley 18/2009, de 23 de noviembre, que dispone: ‘La multa por la Infracción prevista en el artículo 65.5 j) será el doble de la prevista para la infracción originarla que la motivó, si es infracción leve, y el triple, si es infracción grave o muy grave’.” En consecuencia —añadía a la identificación la previsión legal cuestionada—, “el precepto transcrito establece una sanción económica para el titular del vehículo que varía en función de la acción (conducta) del autor de la infracción originaria que dio lugar a la primera denuncia (exceso de velocidad)”.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Abogacía del Estado se opuso al planteamiento de la cuestión de inconstitucionalidad, alegando que la providencia de 21 de febrero de 2013 no determinó ni siquiera relativamente el precepto o preceptos constitucionales cuya presunta vulneración motivaría la elevación de la cuestión a este Tribunal. No formulaba, por ello, alegaciones de fondo. El Ministerio Fiscal, en cambio, manifestó su conformidad con el planteamiento de la cuestión de inconstitucionalidad, al depender del precepto de referencia la solución del caso. La parte actora no formuló alegaciones.</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e) El 4 de abril de 2013, se dictó Auto promoviendo la cuestión de inconstitucionalidad. En relación con la objeción de la Abogacía del Estado, admitía el juzgador que en la providencia de 21 de febrero de 2013 no se concretó el precepto constitucional que se reputa infringido. Sin embargo, ese hecho no puede ser óbice para el planteamiento de la cuestión de inconstitucionalidad, al ser exigible dicha concreción en el Auto de planteamiento y no en la fase de audiencia previa a las partes. Por otro lado, añade, tratándose de una sanción de tráfico, únicamente podía estar a debate la adecuación constitucional del precepto al art. 25.1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Resalta que la sanción prevista en el artículo 67.2 a) por el incumplimiento del deber de identificar al conductor responsable de la infracción de tráfico se determina en la norma en función de la conducta del primer infractor, esto es, del que cometió la falta de conducción que dio origen a la apertura de expediente sancionador. Se olvida con ello, a su juicio, que concurren dos infracciones distintas, autónomas e independientes: la cometida por el conductor del vehículo y la que se imputa, por no colaborar con la Administración, al titular del vehículo. Considera “que esta forma de castigar al titular del vehículo, variable en función de la acción o la conducta del conductor no es ajustada al artículo 25.1 de la Constitución, por ser contraria a la idea o principio de responsabilidad/culpabilidad inherente al uso de la potestad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incumplimiento del deber de identificar al conductor responsable es una omisión de una obligación que no admite graduación, pues incumple quien no identifica, sin que el grado o gravedad de la infracción cometida por el conductor deba influir o afectar en la determinación de la sanción cometida por el titular del vehículo que no procede a su identificación. El precepto, por consiguiente, es contrario al art. 25.1 CE, toda vez que “el castigo no puede variar en función de una conducta, una acción, o una culpabilidad que no pertenece al sancionado por no identificar al conductor, sino que es responsabilidad del conductor mismo. Siendo dos infracciones distintas y autónomas, el artículo castiga a un sujeto por la conducta del otro sujeto”.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previsión normativa cuestionada, prosigue después, dispone una sanción para el titular del vehículo del doble de la prevista para la infracción cometida por el conductor, e incluso del triple para los casos de infracciones graves y muy graves, suscitando también desde ese prisma dudas de constitucionalidad. El incumplimiento de un deber de colaborar con las autoridades administrativas de tráfico no puede ser sancionado con el triple que una infracción en el ejercicio de la conducción (una acción que por regla general afecta a la seguridad y al riesgo de la circulación).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5 de noviembre de 2013, la Sección Cuarta de este Tribunal acordó oír al Fiscal General del Estado, a los efectos que determina el art. 37.1 LOTC, para que alegase lo que considerase conveniente acerca de la admisibilidad de la presente cuestión de inconstitucionalidad, en relación con el cumplimiento de los requisitos procesales exigidos por el art. 35.2 LOTC y por si fuere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23 de diciembre de 2013, el Fiscal General del Estado solicita la inadmisión de la cuestión de inconstitucionalidad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Deficiencias esenciales en el trámite de la providencia de 21 de febrero de 2013, que  no identificó el precepto constitucional concernido. Esa circunstancia, a su criterio, tiene singular relevancia, particularmente porque el demandante, respecto de la infracción y sanción, aludía a numerosos artículos de la Constitución, no sólo el art. 25.1 CE, y en relación con este último, además, porque en él se integran plurales perspectivas (reserva de ley formal, material, analogía, tipicidad, taxatividad, non bis in ídem, proporcionalidad, etc.), de suerte que era necesario precisar la que constituía el fundamento de la duda de constitucionalidad. La circunstancia descrita, en suma, impidió que el trámite de audiencia cumpliese la finalidad que le es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concurre una adecuada formulación del juicio de relevancia, al no razonarse en qué medida la cuestión planteada en el proceso contencioso de origen requiere un pronunciamiento por parte del Tribunal Constitucional sobre el sistema de cuantificación de la sanción y su falta de proporcionalidad.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problemática de fondo, entiende que se cumplen los criterios de proporcionalidad y que el importe de la sanción pecuniaria por la infracción del art. 65.5 j) no se cuantifica en función de la actividad y la culpabilidad del conductor de la infracción originaria. Resulta, por el contrario, que su determinación responde al parámetro de cuantificación de ésta, sin que de ello se derive influencia alguna de la culpabilidad del conductor sobre la responsabilidad del titular del vehículo.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anterior, el Fiscal General del Estado solicita la inadmisión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de inconstitucionalidad planteada por el Juzgado de lo Contencioso-Administrativo núm. 3 de Vitoria, mediante Auto de 4 de abril de 2013, tiene por objeto el art. 67.2 a) del Real Decreto Legislativo 339/1990, de 2 de marzo, por el que se aprueba el texto articulado de la Ley sobre tráfico, circulación de vehículos a motor y seguridad vial, en la redacción dada por la Ley 18/2009, de 23 de noviembre, ante su posible contradicción con el 25.1 C. Tanto el precepto cuestionado como el art. 65.5 j) de la misma norma han sido transcritos en los antecedentes del presente Auto, no siendo necesario pues volver a reproducirlos.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se ha dejado constancia en los antecedentes de esta resolución, se opone a la admisión a trámite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según lo dispuesto en el art. 37.1 de la Ley Orgánica del Tribunal Constitucional (LOTC), este Tribunal puede rechazar en trámite de admisión y mediante Auto aquellas cuestiones de inconstitucionalidad que no satisfagan los necesarios requisitos procesales, tal y como ocurre en el presente caso.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puesto de manifiesto nuestra jurisprudencia que la importancia de la audiencia del art. 35.2 LOTC no puede minimizarse, reduciéndola a un simple trámite carente de más trascendencia que la de su obligatoria concesión, cualesquiera que sean los términos en los que ésta se acuerde. Por el contrario, resulta inexcusable que en él se identifiquen con precisión tanto los preceptos legales sobre cuya constitucionalidad se albergan dudas como las normas de la Constitución que se consideren vulneradas. A este respecto, la reciente STC 222/2012, de 27 de noviembre, FJ 3, recordaba la importancia que tienen esos defectos de identificación en el trámite de audiencia.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“Mayor relevancia indudablemente tiene la ausencia, en las providencias por las que se confirió trámite de alegaciones al Ministerio Fiscal y a la parte requirente, de toda referencia a precepto constitucional alguno que el promotor de la cuestión de inconstitucionalidad estime que haya podido quedar vulnerado por la disposición controvertida. Ciertamente y, de acuerdo con la jurisprudencia de este Tribunal, una omisión como la expuesta puede enervarse si de la redacción de la providencia cabe deducir los motivos que conducen al juzgador a dudar de la inconstitucionalidad de una norma: ‘la providencia por la que se otorgue el trámite de audiencia a las partes y al Ministerio Fiscal ha de especificar los preceptos legales cuestionados y los preceptos constitucionales que se consideren vulnerados, o bien, a falta de una cita concreta de los preceptos constitucionales supuestamente vulnerados,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Finalmente es preciso que en el Auto de planteamiento de la cuestión no se introduzcan elementos nuevos que los sujetos interesados en el proceso no hayan podido previamente conocer ni, por ello, apreciar o impugnar su relevancia para el planteamiento de la cuestión, privándose así al órgano judicial de la opinión de aquéllos y no facilitándoles su reflexión sobre los mismos, pues ello es susceptible de desvirtuar el trámite de audiencia del art. 35.2 LOTC [por todas, SSTC 166/1986, de 19 de diciembre, FJ 4; 126/1997, de 3 de julio, FJ 4 a); 120/2000, de 10 de mayo, FJ 2; 224/2006, de 6 de julio, FJ 4; y 312/2006, de 8 de noviembre, FJ 2; y AATC 152/2000, de 13 de junio, 65/2001, de 27 de marzo, 199/2001, de 4 de julio, 3/2003, de 14 de enero, 29/2003, de 28 de enero, 367/2003, de 13 de noviembre, 60/2005, de 2 de febrero, 56/2006, de 15 de febrero, 135/2006, de 4 de abril, 164/2006, de 9 de mayo, y 173/2006, de 6 de junio, entre otros muchos]’ (STC 166/2007, de 4 de julio,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ese criterio de la indeterminación relativa hemos dado validez, por ejemplo, a providencias que, en el citado trámite de audiencia, no identificaban específicamente los preceptos constitucionales supuestamente vulnerados pero invocaban Sentencias de este Tribunal que permitieron a las partes conocer la cuestión debatida (así, STC 121/2010, de 29 de noviembre, FJ 4). Por la misma razón, en cambio, no hemos considerado ajustadas al debido trámite providencias que podían generar incertidumbre o incluso llevar a las partes a argumentar sobre previsiones constitucionales distintas a los invocadas posteriormente en el Auto de planteamiento (STC 222/2012, FJ 3); las que no identificaron mínimamente la duda de constitucionalidad que albergaba el órgano judicial o las que se conformaron con la mera remisión tácita al escrito de una de las partes en el proceso (STC 166/2007, de 4 de julio, FJ 6); como igualmente, cerrando esta breve lista de ejemplos, los supuestos en los que el órgano judicial se limita a poner de manifiesto la posible inconstitucionalidad por motivos que no precisa (STC 312/2006, de 8 de noviembre, FJ 3). En suma, se incumple el requisito cuando no se desprende con claridad de la providencia la concreta duda de constitucionalidad que motiva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ausencia en la providencia de 21 de febrero de 2013 de datos que permitieran conocer en qué específicos aspectos fundaba el promotor de la cuestión su iniciativa de planteamiento, incluso en qué preceptos constitucionales podía quedar la misma encuadrada, impidió a las partes situar el debate en sus términos exactos.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reflejó en los antecedentes de esta resolución, parecería refrendar la conclusión anterior la manifestación contundente de la Abogacía del Estado en su escrito de alegaciones en el trámite, registrado en el Juzgado el día 14 de marzo de 2013. Cabe aludir, del mismo modo, a las alegaciones del Ministerio Fiscal, que no revelan que la indeterminación de la providencia fuera salvable, ya que su escrito no entró en el fondo de la cuestión ni citó siquiera el art. 25.1 CE. Finalmente, es también destacable que la parte actora no presentase alegaciones, hecho que en sí mismo ni acredita ni excluye la indeterminación indicada, pues pudo deberse simplemente a una conducta procesal pasiva, pero que no deja de ser llamativo si tenemos en cuenta la precariedad del proveído.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necesidad de insistir en esos elementos, procederá recordar que la providencia de 21 de febrero, además de identificar la norma cuestionada, afirmaba que “el precepto trascrito establece una sanción económica para el titular del vehículo que varía en función de la acción (conducta) del autor de la infracción originaria que dio lugar a la primera denuncia (exceso de velocidad)”, sin añadido alguno. De tal enunciado, como bien apunta el Fiscal General del Estado en el trámite de alegaciones ante este Tribunal, no podían inferirse las concretas dudas que asaltaban al juzgador desde el prisma del art. 25.1 CE, pues tal precepto integra diversos contenidos y garantías, no habiéndose señalado las específicamente comprometidas en opinión del juzgador hasta el Auto de planteamiento de la cuestión de inconstitucionalidad: proporcionalidad en la graduación de las sanciones; proporcionalidad de la sanción por la falta de colaboración con la Administración en contraste con la prevista para la infracción de tráfico de la que trae fuente; y, adicionalmente, principio de culpabilidad–responsabilidad por el hecho cometido por un tercero. Por lo demás, es prueba suplementaria de su insuficiencia que, formulada la providencia en los términos transcritos, podrían haberse situado las dudas de inconstitucionalidad en preceptos de la Constitución distintos a los contenidos en el Auto de 4 de abril (siquiera adicionalmente, en particular en el art. 14 CE, en tanto que aquélla se enunciaba en términos de contraste con otras situaciones, según cual fuera la infracción de tráfico cometida).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dijera nuestra STC 121/2010, de 29 de noviembre, es decisivo que las partes hayan podido conocer el planteamiento de inconstitucionalidad realizado por el órgano judicial, y, atendiendo a las circunstancias del caso, situarlo en sus exactos términos constitucionales y pronunciarse sobre él. Desde ese prisma y por lo hasta aquí razonado, procede la inadmisión a limine de la cuestión de inconstitucionalidad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 núm. 4293-2013.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