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5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julio de 2009, la Procuradora de los Tribunales doña Marta Saint-Aubin Alonso, en nombre y representación de don Miguel Villacampa Villacampa, y bajo la asistencia del Letrado don Santiago Carretero Sánchez, interpuso demanda de amparo contra la Sentencia de la Sala de lo Civil del Tribunal Supremo de 14 de noviembre de 2008 —aclarada por Auto de 4 de diciembre de 2008— en el recurso de casación núm. 1903-1999, dando lugar al recurso de amparo núm. 1150-2009, sobre cuya admisibilidad debió conocer la Sección Primera de este Tribunal que lo inadmitió por providencia de 7 de abril de 2010, a pesar de lo cual se han reiterado sucesivos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29 de enero de 2014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resolvió sobre la admisibilidad del recurso de casación núm. 1903-1999, en que se acordó la resolución judicial impugnada en el presente recurso de amparo, dictando el Auto de 17 de junio de 2008.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decidió sobre la admisibilidad del recurso de casación que ha dado lugar a la resolución impugnada en este recurso de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1150-2009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