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19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la Sección Séptima de la Sala de lo Contencioso-Administrativo del Tribunal Supremo dictada el 6 de mayo de 2010 en el recurso de casación núm. 6268-2009 interpuesto contra Sentencia de la Sección Tercera de la Sala de lo Contencioso-Administrativo del Tribunal Superior de Justicia de Castilla y León de fecha 1 de octubre de 2009 recaída en el recurso contencioso-administrativo núm. 2358-2008.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19 de marzo de 2014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de lo Contencioso-Administrativo del Tribunal Supremo, que dictó la Sentencia de 6 de mayo de 2010 en el recurso de casación núm. 6268-2009, resolución recurrida en el presente recurso de amparo núm. 4915-2010.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de lo Contencioso-Administrativo del Tribunal Supremo que dictó la Sentencia de 6 de mayo de 2010 en el recurso de casación núm. 6268-2009 que ha sido impugnado en el presente recurso de amparo núm. 4915-2010.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núm.4915-2010,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