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2010, el Procurador de los Tribunales don Javier Cuevas Rivas, en nombre y representación de don Javier Martinez Izagirre, interpuso demanda de amparo contra el Auto de la Sección Segunda de la Sala de lo Penal de la Audiencia Nacional de 28 de septiembre de 2010, por el que se desestima el recurso de súplica contra el Auto de 3 de septiembre de 2010 en la ejecutoria núm. 82-1997, sobre licenciamiento.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Acordada la admisión a trámite por la Sala Segunda de este Tribunal mediante providencia de 19 de mayo de 2011, por diligencia de ordenación de 23 de octubre de 2013 se solicitó a la Audiencia Nacional que comunicara a este Tribunal cualquier resolución o incidencia procedimental que, a resulta de la STEDH de 21 de octubre de 2013, pudieran afectar a la situación del recurrente de amparo. Remitido por la Audiencia Nacional el Auto de 26 de noviembre de 2013 por el que se acordó la puesta en libertad del recurrente, la Sala, por providencia de 10 de enero de 2014,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alegaciones mediante escrito registrado el 21 de enero de 2014, en el que consideró que existía pérdida sobrevenida de objeto del recurso de amparo al haberse producido, tras la admisión de la demanda, la reparación por la Audiencia Nacional de la lesión del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21 de enero de 2014, en el que consideró que existía pérdida sobrevenida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comparecida presentó alegaciones mediante escrito registrado el 22 de enero de 2014, en el que consideró que debería ser el recurrente el que desista del recurso al haberse decretado el licenciamiento definitivo y, en consecuencia, carecer de virtualidad práctica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por Auto de la Sección Segunda de la Sala de lo Penal de la Audiencia Nacional de 26 de noviembre de 2013 se resolvió hacer extensiva la aplicación de la Sentencia del Tribunal Europeo de Derechos Humanos de 21 de octubre de 2013 por la similitud existente con las pretensiones del demandante de amparo. Y, en consecuencia, tomar como referencia el tope máximo de treinta años para, a partir de él, hacer los descuentos que correspondan por redenciones, y acordar la libertad del recurrente. En dicho Auto se acordó la inmediata puesta en libertad y se declararon extinguidas las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decretado la puesta en libertad del recurrente, de conformidad con lo dispuesto en los arts. 80 y 86.1 de la Ley Orgánica del Tribunal Constitucional (LOTC), en relación con el art. 22 de la Ley de enjuiciamiento civil, procede declarar la pérdida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