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impugnan Auto y Sentencia de la Sección Cuarta de la Sala de lo Contencioso-Administrativo del Tribunal Supremo dictados el 28 y 8 de marzo de 2011 respectivamente en el recurso de casación núm. 4552-2009 interpuesto contra Sentencia de la Sección Tercera de la Sala de lo Contencioso-Administrativo del Tribunal Superior de Justicia de Andalucía de fecha 21 de mayo de 2009 recaída en el recurso contencioso-administrativo núm. 863-2007.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marzo de 2014 el Magistrado don Ricardo Enríquez Sancho comunicó a los efectos oportunos que se abstenía de intervenir en el antes indicado recurso de amparo, de conformidad con el art. 80 de la Ley Orgánica del Tribunal Constitucional, por haber formado parte de la Sección Cuarta de la Sala de lo Contencioso-Administrativo del Tribunal Supremo, que dictó la Sentencia y el Auto de 8 y 28 de marzo de 2011, respectivamente, en el recurso de casación núm. 4552-2009, resoluciones recurridas en el presente recurso de amparo núm. 2996-2011.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Cuarta de la Sala de lo Contencioso-Administrativo del Tribunal Supremo que dictó la Sentencia y el Auto de 8 y 28 de marzo de 2011, respectivamente, en el recurso de casación núm. 4552-2009 que han sido impugnados en el presente recurso de amparo núm. 2996-2011.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2996-2011,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