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86</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25 de marzo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 el Auto de 14 de noviembre de 2013 dictado por la Sección Primera de la Sala de lo Contencioso-Administrativo del Tribunal Supremo que declaró la inadmisión del recurso de casación 1537-2013 interpuesto contra la Sentencia de 22 de febrero de 2013 dictada por la Sección Séptima de la Sala de lo Contencioso-Administrativo del Tribunal Superior de Justicia de Madrid en el recurso núm. 1197-2010.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25 de marzo de 2014 el Magistrado don Ricardo Enríquez Sancho comunicó a los efectos oportunos que se abstenía de intervenir en el antes indicado recurso de amparo, de conformidad con el art. 80 de la Ley Orgánica del Tribunal Constitucional, por haber formado parte de la Sección Primera de la Sala de lo Contencioso-Administrativo del Tribunal Supremo que dictó el Auto de 14 de noviembre de 2013, resolución impugnada en el presente recurso de amparo núm. 141-2014.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Ricardo Enríquez Sancho, Magistrado de esta Sección Cuarta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de lo Contencioso-Administrativo del Tribunal Supremo que dictó el Auto de 14 de noviembre de 2013, resolución que ha sido impugnada en el presente recurso de amparo núm. 141-2014.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Ricardo Enríquez Sancho en el recurso de amparo núm. 141-2014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