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25 de marzo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Sentencia de 21 de noviembre de 2013 dictada por la Sección Primera de la Sala de lo Contencioso-Administrativo del Tribunal Supremo que desestimó la demanda por error judicial núm. 15-2012 interpuesta contra la Sentencia de 28 de noviembre de 2011 dictada por la Sección Segunda de la Sala de lo Contencioso-Administrativo del Tribunal Superior de Justicia de Castilla y León en recurso de apelación núm. 70-2011.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24 de marzo de 2014 el Magistrado don Ricardo Enríquez Sancho comunicó a los efectos oportunos que se abstenía de intervenir en el antes indicado recurso de amparo, de conformidad con el art. 80 de la Ley Orgánica del Tribunal Constitucional, por haber formado parte de la Sección Primera de la Sala de lo Contencioso-Administrativo del Tribunal Supremo que dictó la Sentencia de 21 de noviembre de 2013, resolución impugnada en el presente recurso de amparo núm. 871-2014.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Sección Cuarta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de lo Contencioso-Administrativo del Tribunal Supremo que dictó la Sentencia de 21 de noviembre de 2013, resolución que ha sido impugnada en el presente recurso de amparo núm. 871-2014.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871-2014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