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mayo de 2013, el Procurador de los Tribunales don Jorge Deleito García, en nombre y representación de don Javier Ruiz Benítez de Lugo Parejo, y bajo la dirección del Letrado don Víctor Moreno Catena, interpuso recurso de amparo contra la Sentencia de 11 de abril de 2013 dictada por la Sección Quinta de la Audiencia Provincial de Santa Cruz de Tenerife (rollo 72-2012), recaída en recurso de apelación interpuesto contra Sentencia dictada con fecha de 13 de abril de 2011, que fue aclarada por Auto de fecha 26 de abril de 2011, por el Juzgado de lo Penal núm. 3 de la misma ciudad, en el procedimiento abreviado 346-2010, dimanante del Juzgado de Instrucción núm. 3, también de Santa Cruz de Tenerife (diligencias previas 3702-2006).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dictada por la Sección Quinta de la Audiencia Provincial de Santa Cruz de Tenerife, estimó parcialmente el recurso de apelación dejando sin efecto la condena impuesta a dicho recurrente por el delito de omisión del deber de socorro y desestimó en todo lo demás el recurso de apelación, manteniéndose los pronunciamientos de la Sentencia recurrida, con relación a este acusado. La Sentencia del Juzgado de lo Penal núm. 3 de Santa Cruz de Tenerife condenó al recurrente por un delito de conducción temeraria en concurso legal ex art. 383 del Código penal (según redacción anterior a la dada por la Ley Orgánica 15/2007) con tres delitos de homicidio por imprudencia grave cometidos utilizando vehículo de motor, no concurriendo circunstancia modificativa alguna de la responsabilidad criminal, a tres años y tres meses de prisión, con la accesoria de inhabilitación especial para el ejercicio del derecho de sufragio pasivo durante el tiempo de la condena, así como a la pena principal de cinco años y nueve meses de privación del derecho de conducir vehículos a motor y ciclomotores, además de los pronunciamientos en cuanto a la responsabilidad civil y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ex art. 56.2 de la Ley Orgánica del Tribunal Constitucional, la suspensión de la ejecución de la Sentencia respecto a la pena privativa de libertad de tres años y tres meses y de su accesoria, dado que de no producirse la solicitada suspensión el amparo perdería su finalidad constitucional, causando al recurrente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jurisprudencia del Tribunal Constitucional, se hace referencia a las circunstancias personales del recurrente que deben ser tenidas en cuenta en orden a la concesión de la suspensión: la condena de prisión impuesta a su representado, de tres años y tres meses de privación de libertad, está muy por debajo de la frontera de los cinco años de prisión que ha venido admitiendo el Tribunal Constitucional como criterio de gravedad de la pena a tener en cuenta para admitir la suspensión solicitada; la suspensión no supone una perturbación grave de los intereses generales ni ocasiona daño a los derechos de terceros, dado que el recurrente no fue autor material de los homicidios por los que ha sido condenado y su actuación ha sido calificada como imprudente; a lo dicho se añade que el recurrente no cuenta con antecedentes penales, ha estado siempre a disposición judicial y ha acreditado una intachable conducta, con una integración social y familiar fuera de toda duda; finalmente se aduce que las responsabilidades civiles derivadas del pleito han sido plenamente satisfechas a los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10 de febrero de 2014, y tras admitir el recurso por providencia fechada en el mismo día, acordó la formación de pieza separada para la tramitación del incidente sobre la suspensión solicitada; asimismo, acordó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escrito de alegaciones con fecha 18 de febrero de 2014, reiterándose en la petición de suspensión solicitada y en los argumentos ya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24 de febrero de 2014, presentó alegaciones. Considera que procede acceder a la suspensión de la pena privativa de libertad de tres años y tres meses de prisión y de la accesoria de inhabilitación especial para el derecho de sufragio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escrito pone de manifiesto que si bien es cierto que es jurisprudencia constitucional reiterada que la suspensión de la ejecución de las resoluciones firmes es una medida excepcional, no lo es menos que dicha doctrina, reseñada en él, ha sido matizada por el propio Tribunal Constitucional. En concreto, y en relación con el criterio de la gravedad de la pena, señala que la doctrina constitucional ha adoptado como directriz inicial la de que la pena se sitúe por encima o por debajo de la frontera de cinco años de prisión, que es la que sirve al legislador para diferenciar entre las penas graves y las menos graves (ATC 61/2013, de 27 de febrero, y 75/2013, de 8 de abril). Al respecto hace notar cómo la prisión impuesta al ahora recurrente, de una duración de tres años y tres meses, es notoriamente inferior a los límites por los que habitualmente se concede la suspensión, según los parámetros de referencia citados. A ello debe unirse que el tiempo de tramitación del recurso de amparo podría hacer ilusorio un eventual pronunciamiento favorable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termina su argumentación afirmando que acceder a la suspensión solicitada no ocasionaría una lesión específica y grave del interés general, más allá de la genérica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(AATC 124/2012, de 18 de junio, FJ 1, y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también ha dicho que la acreditación del perjuicio es carga del recurrente, quien debe precisar los que deriven de la ejecución,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(AATC 81/2012, de 7 de mayo, FJ 3, y 250/2013,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penas de privación de libertad, “este Tribunal ha afirmado que procede, en principio, acordar su suspensión al afectar a un bien de imposible o muy difícil restitución, pero destacando que este criterio general tampoco es absoluto, ya que en estos supuestos deben ponderarse otras circunstancias relevantes, significativamente la duración y gravedad de la pena impuesta porque en ella se expresa la reprobación que el ordenamiento asigna al hecho delictivo y, por consiguiente, la magnitud del interés general en su ejecución” (ATC 250/2013, de 4 de noviembre, FJ 3). En concreto, se ha asumido “que la directriz principal a tener en cuenta es si la pena se sitúa por encima o debajo del umbral de los cinco años (AATC 16/2009, de 26 de enero; 18/2011, de 28 de febrero, FJ 2; y 61/2013, de 27 de febrero; FJ 2), puesto que ésa es la frontera establecida por el legislador para diferenciar las penas graves de las menos graves, conforme a lo dispuesto en el artículo 33 del Código penal (ATC 44/2012, de 12 de marzo, FJ 2)” (ATC 19/2014,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este Tribunal también ha afirmado que la suspensión de la pena privativa de libertad debe conllevar la suspensión de las penas accesorias de inhabilitación que lleven aparejadas (AATC 58/2012, de 26 de marzo, FJ 2, y 21/2014,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al presente caso de la doctrina expuesta, procede la suspensión instada por el recurrente, pues la duración de la condena de privación de libertad recaída —tres años y tres meses— se halla por debajo del margen de gravedad con que, como regla general, opera este Tribunal, y de no suspenderse la pena privativa de libertad, podría ocasionarse al recurrente un perjuicio irreparable. Además, “de la concesión de la suspensión no se deriva perturbación grave de los intereses generales, ni de los derechos fundamentales o libertades públicas de un tercero más allá del genérico que toda inejecución de una resolución judicial comporta” (ATC 61/2013, de 27 de febrero, FJ 3; en el mismo sentido, ATC 270/2002, de 11 de diciembre,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del Juzgado de lo Penal núm. 3 de Santa Cruz de Tenerife, de 13 de abril de 2011, dictada en procedimiento abreviado núm. 346-2010, confirmada por la Sentencia de 11 de abril de 2013, dictada en apelación por la Sección Quinta de la Audiencia Provincial de Santa Cruz de Tenerife (rollo 72-2012), en cuanto a la pena de prisión de tres años y tres meses y a la accesoria de inhabilitación especial para 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