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junio de 2013, el Procurador de los Tribunales don Julián del Olmo Pastor, en nombre y representación de Emyplan, S.L., interpuso demanda de amparo contra el Auto de la Sala de lo Civil del Tribunal Supremo de 2 de abril de 2013, por el que se inadmite el recurso de casación núm. 1789-2012, dando lugar al presente recurso de amparo,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0 de ener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3375-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