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febrero de 2014 tuvo entrada en el Registro General de este Tribunal un escrito de la Sección Cuarta de la Sala de lo Contencioso-Administrativo del Tribunal Supremo, al que se acompaña, junto al testimonio del correspondiente procedimiento, Auto de 17 de enero de 2014, dictado en el recurso de casación núm. 5463-2002, en el que se acuerda promover ante este Tribunal cuestión de inconstitucionalidad respecto del inciso inicial del art. 30.2 de la Ley del Parlamento Vasco 18/1997, de 21 de noviembre, de los colegios profesionales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6 de marzo de 2014 el Magistrado don Juan Antonio Xiol Ríos comunicó su voluntad de abstenerse en el conocimiento de la presente cuestión de inconstitucionalidad por entender que concurría la causa 11 del art. 219 de la Ley Orgánica del Poder Judicial, por haber formado parte, en su condición de Magistrado de la Sala de lo Contencioso-Administrativo del Tribunal Supremo, de la Sección que tramitó el recurso de casación núm. 5463-2002, en el que se ha acordado el planteamiento de la presente cuestión de inconstitucionalidad, adoptando diversas resoluciones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tramitó el recurso de casación en que se ha promovido la presente cuestión de inconstitucionalidad, adoptando diversas resoluciones judiciales,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la cuestión de inconstitucionalidad núm. 1050-2014 y apartarle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