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19 de julio de 2013 y Auto de 27 de diciembre de 2013 dictados por el Pleno de la Sala de lo Contencioso-Administrativo del Tribunal Supremo en el recurso contencioso-administrativo núm. 349-2011, que anularon diversos preceptos del Reglamento 2/2011, de la carrera judicial, aprobado por acuerdo de 28 de abril de 2011, del Pleno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abril de 2014 el Magistrado don Ricardo Enríquez Sancho comunicó a los efectos oportunos que se abstenía de intervenir en el antes indicado recurso de amparo, de conformidad con el art. 80 de la Ley Orgánica del Tribunal Constitucional, por haber formado parte del Pleno de la Sala de lo Contencioso-Administrativo del Tribunal Supremo que dictó la Sentencia de 19 de julio de 2013 y el Auto de 27 de diciembre de 2013, resoluciones impugnadas en el presente recurso de amparo núm. 2282-2014.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del Pleno de la Sala de lo Contencioso-Administrativo del Tribunal Supremo que dictó la Sentencia de 19 de julio de 2013 y el Auto de 27 de diciembre de 2013, resoluciones que han sido impugnadas en el presente recurso de amparo núm. 2282-2014.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2282-2014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