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29 de abril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de la Sala de lo Contencioso Administrativo del Tribunal Supremo en recurso de casación 6950-2100, contra la Sentencia dictada por la Sección Segunda de la Sala de lo Contencioso-Administrativo de la Audiencia Nacional en recurso 237-2007.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22 de abril de 2014,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Tercera del Tribunal Supremo, que dictó el Auto de 14 de julio de 2011, resolución impugnada en el presente recurso de amparo número 6041-2012.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Tercera del Tribunal Supremo, que dictó el Auto de 14 de julio de 2011, en el recurso de casación que ha sido impugnado en el presente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número 6041-2012,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