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2937-2012, promovido por don Joseba Iñaki Zugadi García y doña Miren Onaindia Susaeta, representados por el Procurador de los Tribunales don Javier Cuevas Rivas, bajo la dirección de la Letrada doña Eukene Jauregi Lejona, contra el Auto de la Sala de lo Penal del Tribunal Supremo de 1 de marzo de 2012 y providencia de 10 de mayo de 2012, por los que se acuerda no haber lugar a la admisión del recurso de casación núm. 11949-2011 interpuesto contra el Auto de la Sección Primera de la Sala de lo Penal de la Audiencia Nacional de 13 de septiembre de 2011, dictado en la ejecutoria núm. 40-1987, sobre acumulación de penas y cómputo de abono de la prisión provisional.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Cuevas Rivas, en nombre y representación de don Joseba Iñaki Zugadi García y doña Miren Onaindia Susaeta, bajo la dirección de la Letrada doña Eukene Jauregi Lejona, interpuso recurso de amparo contra las resoluciones que se citan en el encabezamiento, mediante escrito registrado el 18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fueron condenados en Sentencia de fecha 4 de mayo de 1994 dictada por Sección Primera de la Audiencia Nacional en el rollo 40-1987, del sumario 40-1987 del Juzgado Central núm. 1, causa en la que los ahora recurrentes permanecieron provisionalmente privados de libertad desde el día 27 de febrero de 1992, dictándose Auto de 10 de noviembre de 1994 por el que se declaró su firmeza. Con relación a dicha causa se practicó liquidación de condena con fecha 22 de diciembre de1994 sobre el máximo de cumplimiento de las penas impuestas de treinta años, sin abono de prisión preventiva alguna por tenerla abonada en otra causa, siendo aprobada en providencia de 16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lo Penal de la Audiencia Nacional dictó en ejecutoria 40-1987, Auto de fecha 24 de julio de 1996 en el que se acordaba acumular las condenas impuestas a la penada doña Miren Onaindia en las causas 7-1992 del Juzgado Central de Instrucción núm. 4 y 40-1987 del Juzgado Central de Instrucción núm. 1, fijándose en una duración de treinta años de privación de libertad el tiempo total de cumplimiento de todas las penas privativas de libertad impuestas en las causas expresadas, y Auto de fecha 24 de julio de 2002 en el que se acordaba acumular las condenas impuestas al penado don Joseba Iñaki Zugadi en las causas 7-1992 del Juzgado Central de Instrucción núm. 4 y 40-1987 del Juzgado Central de Instrucción núm. 1,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18 de febrero de 2011, los demandantes solicitaron la refundición de condenas y la práctica de liquidación de condena con abono de periodos de prisión provisional simultáneos al cumplimiento de condena; concretamente, don Joseba Zugadi solicitaba el cómputo del periodo comprendido entre 15 de julio de 1993 al 24 de enero de 1995, y doña Miren Onaindia el del periodo comprendido entre el 12 de julio de 1993 al 24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Primera de la Sala de lo Penal de la Audiencia Nacional, por Auto de 13 de septiembre de 2011, dictado en la ejecutoria núm. 40-1987 acuerda desestimar la solicitud en cuanto a que el cómputo pudiera realizarse sobre el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interpusieron recurso de casación, tramitado con el núm. 11949-2011 por la Sala de lo Penal del Tribunal Supremo, acordándose por Auto de fecha 1 de marzo de 2012 no haber lugar 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 razonamiento jurídico único debe destacarse el siguiente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decía este Tribunal en la sentencia ya citada de 24 de Marzo de 2010, relativa al alcance de la STC 57/2008, cuestión distinta es la coincidencia en el tiempo de dos o más prisiones provisionales acordadas en causas distintas. En primer lugar, este caso ni ha sido contemplado ni resuelto en la STC 57/2008, que analiza la finalidad primordial y distinta funcionalidad que tiene la medida cautelar y el cumplimiento de la pena. El propio TC (SSTC 41/1982 y 47/2000) ha considerado que la medida cautelar de prisión provisional tiene carácter excepcional, subsidiario, necesario y proporcionado a la consecución de los fines constitucionalmente legítimos de asegurar el normal desarrollo de proceso y la ejecución del fallo, así como evitar el riesgo de reiteración delictiva. Los fines de la medida cautelar consisten en evitar la fuga del reo durante el proceso y tras el dictado de una sentencia no firme, asegurar la instrucción de los hechos y evitar la ocultación de pruebas, impedir la reiteración delictiva por parte del sujeto considerado peligroso o satisfacer la demanda social de seguridad, frente a la pena de prisión que obedece a otras finalidades conforme a lo dispuesto con carácter general en el art. 25.2 CE. Por lo tanto, el fundamento de la prisión provisional nada tiene que ver con el de las condenas que pueden estar cumpliéndose porque los fines que se persiguen son distintos. Por ello puede sostenerse que las prisiones provisionales simultáneas realmente solo conllevan una privación de libertad única y la pluralidad de las mismas no deja de ser a estos efectos meramente formal o incluso precautoria ante posibles decisiones de libertad provisional dictadas por un juzgado y no por otro u otros. Por ello no es posible computar doblemente la prisión provisional cuando ya ha sido aplicada en la causa en la que se acordó o incluso en otra causa distinta conforme a las previsiones contenidas en la redacción anterior y actual del art. 58.”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presentado con fecha 24 de abril de 2012, la representación procesal de los recurrentes interpuso incidente de nulidad de actuaciones frente al citado Auto, que fue admitido por providencia de fecha 10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que se han vulnerado sus derechos a la libertad y seguridad (art. 17.1 CE) y a la tutela judicial efectiva (art. 24.1 CE) y consideran que las resoluciones impugnadas han lesionado los derechos invocados por denegar el abono del tiempo sufrido en prisión provisional en el periodo reclamado por cada uno de ellos, en tanto se apartan de la jurisprudencia del Tribunal Constitucional establecida en las SSTC 19/1999, 71/2000, y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en apoyo de sus argumentos, distintas Sentencias del Tribunal Supremo y del Tribunal Constitucional, que consideran que aquel periodo de prisión provisional que aun coincidiendo con el cumplimiento de una pena que sufrió el reo, se trata de prisión computable por haber cumplido las funciones legalmente previstas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concluyen que el derecho a la libertad de los recurrentes ha resultado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20 de diciembre de 2012, acordó admitir a trámite la demanda de amparo y, en aplicación de lo dispuesto en el art. 51 de la Ley Orgánica del Tribunal Constitucional (LOTC), requerir a los órganos judiciales la remisión del testimonio de las actuaciones y el emplazamiento de quienes hubieran sido parte en el procedimiento, a excepción del recurrente, para que pudiesen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11 de marzo de 2013, acordó dar vista de las actuaciones al Ministerio Fiscal y a las partes personadas por un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20 de mayo de 2013, interesa que se otorgue el amparo a los recurrentes por la vulneración de su derecho a la libertad (art. 17.1 CE) y que se anulen las resoluciones impugnadas retrotrayendo las actuaciones para que se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delimita el marco del control constitucional, con cita de la STC 57/2008, de 28 de abril, e indica que la interpretación y alcance del art. 58.1 del Código penal (CP) —y art. 33 CP de 1973—, en relación a la libertad personal permite subrayar que asiste la razón al recurrente cuando denuncia que la falta de abono de dicho periodo de prisión preventiva vulneró su derecho a la libertad provisional. Considera que no se trata de un doble y/o múltiple abono de periodos de prisión preventiva simultáneamente acordados en cada una de las causas, mediante la suma aritmética de todos ellos, petición que además carecería de sentido con arreglo a la doctrina establecida en las SSTC 92/2012, de 7 de mayo, y 158/2012,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abono de prisión preventiva vinculado a la pena de cada respectiva causa en su cumplimiento sucesivo conforme al art. 70 CP 1973 (art. 75 CP 1995), limita, en este caso, la aplicación del art. 33 CP 1973 (art. 58 CP 1995) respecto a la deducción de los periodos de privación de libertad por prisión preventiva de la pena a la que corresponden, eliminando parte de ellos —los de las penas no cumplidas en orden sucesivo por virtud del tope máximo establecido—, y desplaza la aplicación del art. 70.2 CP 1973 (art. 76 CP 1995),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el Fiscal concluye que la decisión de que la liquidación de condena que eventualmente se practique solo tenga en cuenta los periodos de prisión preventiva a medida que se vayan cumpliendo las sucesivas penas, empezando por la más grave, conforme al art. 70 CP 1973 (art. 75 CP 1995), aunque ello comporte la eliminación de periodos de prisión preventiva sufrida y deducible, por tanto, la superación del límite de cumplimiento del 70.2 CP 1973 (art. 76 CP 1995), no efectuándose en la forma prevista por la ley y careciendo de cobertura legal, es contraria al derecho a la libertad y vulnera los art.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27 de noviembre de 2013 se recibió comunicación del servicio común de ejecutorias de la Audiencia Nacional poniendo en conocimiento de este Tribunal que en esa fecha se dictó Auto acordando la extinción de la responsabilidad criminal de los recurrentes, por lo que por providencia de fecha 10 de febrero de 2014 se acordó oír a las partes sobre posible pérdida de objeto del recurso, presentado escrito de alegaciones el Fiscal en el que afirma que la demanda de amparo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2014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 los demandantes en dos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dichas resoluciones vulneran los referidos derechos fundamentales, en los términos que han sido interpretados por la jurisprudencia del Tribunal Constitucional y por la Sala Segunda del Tribunal Supremo, por denegar el abono del tiempo sufrido en prisión provisional, pretendiendo su descuento del plazo máximo de cumplimiento fijado en el Auto de refundición de condenas. Concretamente, se pretende el cómputo del periodo comprendido entre 15 de julio de 1993 al 24 de enero de 1995, en el caso de don Joseba Zugadi, y el del periodo comprendido entre el 12 de julio de 1993 al 24 de enero de 1995, en el caso de doña Miren Onaindia, por no haberles sido abonado el tiempo que permanecieron en prisión preventiva simultáneamente con la condición de penados.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considera que las resoluciones judiciales impugnadas han desconocido el derecho fundamental a la libertad personal del recurrente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referirnos a la posible pérdida de objeto del recurso por haberse dictado Auto acordando la extinción de la responsabilidad criminal de los recurrentes en fecha 27 de noviembre de 2013, lo que determinó que se acordara oír a las partes personadas y al Ministerio Fiscal sobre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trámite de audiencia, el Fiscal se opuso a la terminación del proceso por pérdida de objeto, al entender que subsiste un interés legítimo por cuanto que se trata de pronunciamientos que afectan a la libertad de los recurrentes, sin perjuicio de que los efectos de su eventual estimación sean meramente declarativos y deban limitarse a la anulación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se recoge en las SSTC 61/2001, 26 de febrero, FJ 2; 8/2002, de 14 de enero, FJ 2, y 167/2005, de 20 de junio, FJ 2, por lo que debemos concluir que en este caso no se da el supuesto de hecho de pérdida de objeto, puesto que no ha desaparecido la causa origen del proceso de amparo, pues la extinción de responsabilidad de los recurrentes se fundó en motivos distintos (cómputo de las redenciones por el trabajo) a los planteados en este recurso de amparo (cómputo del periodo simultáneo de preventiva sobre el límite máximo de cumplimiento), no habiéndose reparado la lesión en la vía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ulterior puesta en libertad de los recurrentes no priva de objeto 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el objeto de nuestro enjuiciamiento se contrae a determinar si el derecho fundamental a la libertad de los recurrentes (art. 17.1 CE) y a la tutela judicial efectiva (art. 24.1 CE), han sido conculcados al no haberse deducido el periodo de prisión preventiva posterior a la firmeza de la primera condena del límite máximo de cumplimiento de las condenas acumuladas (consistente en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 y en la posterior STC 55/2014, de 10 de abril, del Pleno, al resolver el recurso de amparo núm. 3650-2011.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35/2014, FFJJ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no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que el periodo en que los recurrentes simultanearon la situación de preso preventivo con la de penado afecte al límite de cumplimiento,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expuestos conducen a concluir que las decisiones adoptadas no han producido la alegada lesión de los derechos fundamentales invocados (arts. 17.1 y 24.1 CE), al no contravenir lo dispuesto en el art. 58.1 CP (art. 33 CP 1973), ni quebrantar tampoco el fundamento y los fines que justifican la acumulación jurídica (art. 76 CP), lo cual nos lleva a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 don Joseba Iñaki Zugadi García y doña Miren Onaindia Susaeta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