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2938-2012, promovido por don Juan Carlos Balerdi Iturralde, representado por el Procurador de los Tribunales don Javier Cuevas Rivas y asistido por la letrada doña Arantxa Apoaricio Lopetegi, contra el Auto de la Sala de lo Penal del Tribunal Supremo de 1 de marzo de 2012, por el que se acuerda no haber lugar a la admisión del recurso de casación núm. 11949-2011 contra el Auto de la Sección Primera de la Sala de lo Penal de la Audiencia Nacional de 13 de septiembre de 2011, dictado en la ejecutoria núm. 40-1987, sobre acumulación de penas y cómputo de abono de la prisión provisional.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don Juan Carlos Balerdi Iturralde, bajo la dirección de la Letrada doña Arantxa Apoaricio Lopetegi, interpuso recurso de amparo contra las resoluciones que se citan en el encabezamiento, mediante escrito registrado el 18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a diversas penas de prisión por delitos de atentado con resultado de muerte y otros, fijándose un límite máximo de cumplimiento de las mismas en treinta años de privación de libertad (ejecutoria 40-1987 de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solicitó la refundición de condenas y la práctica de la liquidación correspondiente con abono de los periodos de prisión provisional simultáneos al cumplimiento de condena; en particular, interesó el cómputo del periodo comprendido desde el 20 de octubre de 1990 al 24 de febrero de 1992 y desde el 23 de enero de 1993 hasta el 2 de marzo de 2006. Solicitó que se le abonarán estos periodos de tiempo sobre el límite de treinta años fijado, ya que, en caso contrario, se produciría un alargamiento efectivo de su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Primera de la Sala de lo Penal de la Audiencia Nacional, por Auto de 13 de septiembre de 2011, dictado en la ejecutoria núm. 40-1987, acordó desestimar la solicitud presentada por el recurrente en cuanto a que el referido cómputo de la prisión pudiera realizarse sobre el límite máximo fijado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interpuso recurso de casación, tramitado con el núm. 11949-2011 por la Sala de lo Penal del Tribunal Supremo, que dictó Auto de 1 de marzo de 2012 acordando no haber lugar 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la Sala razona, en el fundamento jurídico único, c), de su resolución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núm. 197/06, de 28 de febrero, dictada por el Pleno de esta Sala, señala que el límite máximo de cumplimiento es sólo eso, un límite para el cumplimiento de las penas, no es una nueva pena a la que aplicar los beneficios penitenciarios. De igual forma, tampoco puede considerarse una pena nueva para aplicar el doble cómputo de la prisión preventiva que solicita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pretenden los recurrentes no es que se abone el tiempo de prisión preventiva que sufrieron en estas causas, aun cuando entonces estuvieran cumpliendo condena por otras distintas …., sino que se les compute doblemente el tiempo transcurrido en prisión provisional, cuando ya se ha tenido en cuenta en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decía este Tribunal en la Sentencia de 24 de marzo de 2010 relativa al alcance de la STC 57/2008, cuestión distinta es la coincidencia en el tiempo de dos o más prisiones provisionales acordadas en causas distintas. En primer lugar, este caso ni ha sido contemplado ni resuelto en la STC 57/2008, que analiza la finalidad primordial y distinta funcionalidad que tiene la medida cautelar y el cumplimiento de la pena. El propio TC SSTC 41/1982 y 47/2000) ha considerado que la medida cautelar de prisión provisional tiene carácter excepcional, subsidiario, necesario y proporcionado a la consecución de los fines constitucionalmente legítimos de asegurar el normal desarrollo del proceso y la ejecución de fallo, así como evitar el riesgo de reiteración delictiva. Los fines de la medida cautelar consisten en evitar la fuga del reo durante el proceso y tras el dictado de una sentencia no firme, asegurar la instrucción de los hechos y evitar la ocultación de pruebas, impedir la reiteración delictiva por parte del sujeto considerado peligroso o satisfacer la demanda social de seguridad, frente a la pena de prisión que obedece a otras finalidades conforme a lo dispuesto con carácter general en el art. 25.2 CE. Por tanto, el fundamento de la prisión provisional nada tiene que ver con el de las condenas que pueden estar cumpliéndose porque los fines que se persiguen son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puede sostenerse que las prisiones provisionales simultáneas realmente sólo conllevan una privación de libertad única y la pluralidad de las mismas no deja de ser a estos efectos meramente formal o incluso precautoria ante posibles decisiones de libertad provisional dictadas por un Juzgado y no por otro u otros. Por ello no es posible computar doblemente la prisión provisional cuando ya ha sido aplicada en la causa en la que se acordó o incluso en otra causa distinta conforme a las previsiones contenidas en la redacción anterior y actual del art.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del recurrente interpuso incidente de nulidad de actuaciones frente a la anterior resolución, que fue inadmitido a trámite por providencia de 10 de mayo de 2012 de la Sala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que se han vulnerado por las resoluciones judiciales impugnadas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dichas resoluciones al no abonar la prisión preventiva sufrida como tiempo de prisión cumplido y al no ser descontada del límite total de cumplimiento vulneran, según su criterio, el derecho fundamental a la libertad ya que el criterio adoptado conlleva que en la práctica han existido periodos de prisión provisional efectivamente sufridos por el condenado que no han llegado a computarse por quedar fuera del límite de cumplimiento de prisión. La interpretación seguida por la Sala de lo Penal de la Audiencia Nacional y por el Tribunal Supremo, además de apartarse de la doctrina constitucional establecida en las SSTC 19/1999, 71/2000 y 57/2008, supone una neutralización del efecto reductor de la condena de parte de la prisión provisional sufrida por el reo, en la medida en que según la misma algunos periodos de tiempo sufridos en esta situación nunca llegaran a ser computados. En definitiva, la decisión de no abonar al recurrente en su totalidad el tiempo de privación de libertad sufrido preventivamente sobre el límite total de cumplimiento carece de cobertura legal, lo que supone un alargamiento ilegítimo de su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10 de diciembre de 2012, acordó admitir a trámite la demanda de amparo y, en aplicación de lo dispuesto en el art. 51 de la Ley Orgánica del Tribunal Constitucional (LOTC), requerir a los órganos judiciales intervinientes la remisión del testimonio de las actuaciones y el emplazamiento de quienes hubiesen sido parte en el procedimiento, a excepción del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 la Sala Primera de este Tribunal, por diligencia de ordenación de 6 de febrero de 2013 tuvo por recibidos los testimonios solicitados y acordó dar vista de las actuaciones al Ministerio Fiscal y a las partes personadas, por un plazo común de veinte días, para presentar las alegaciones que estimasen pertinentes de conformidad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21 de marzo de 2013, interesa que se otorgue el amparo al recurrente por la vulneración de su derecho a la libertad (art. 17.1 CE) y que se anulen las resoluciones impugnadas, debiendo retrotraerse las actuaciones para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comienza por precisar que el objeto de la pretensión de amparo se centra en el cómputo del periodo de prisión provisional solicitado por el recurrente —coincidente con la situación de penado— como parte del tiempo del límite máximo —treinta años— de cumplimiento efectivo de condena acordado por los autos de acumulación de condenas. Por otra parte, precisa el Fiscal, la demanda se plantea desde la perspectiva constitucional del derecho a la libertad del art. 17 CE y del derecho a la tutela judicial efectiva del art. 24.1 CE, abordados de forma conjunta por el recurrente, sin que la eventual vulneración de este último derecho adquiera un desarrollo autónomo e independiente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entiende el Ministerio Fiscal, luego de analizar el contenido de las SSTC 57/2008, de 28 de abril; 19/1999, de 22 de febrero, y 92/2012, de 7 de mayo, que le asiste la razón al recurrente cuando denuncia que la falta de abono del periodo de prisión preventiva, en la forma que solicitaba, vulneró su derecho a la libertad personal. A tal fin, alega que el abono de prisión preventiva vinculado a la pena de cada respectiva causa en su cumplimiento sucesivo conforme al art. 75 del Código penal (CP), limita, en este caso, la aplicación del art. 33 CP 1973 (art 58 CP 1995) respecto a la deducción de los periodos de privación de libertad por prisión preventiva de la pena a la que corresponden, eliminando parte de ellos —los de las penas no cumplidas en orden sucesivo por virtud del tope máximo establecido—, y desplaza la aplicación del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cómputo,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el Fiscal concluye que la decisión de que la liquidación de condena que eventualmente se practique sólo tenga en cuenta los periodos de prisión preventiva a medida que se vaya cumpliendo las sucesivas penas, empezando por la más grave, conforme al art. 75 CP, aunque ello comporte la eliminación de periodos de prisión preventiva sufridos y, por tanto, la superación de límite de cumplimiento del art. 76 CP, no efectuándose en la forma prevista por la Ley y careciendo de cobertura legal, es contraria al derecho a la libertad y vulnera los arts.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abril de 2014,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recurso de amparo determinar si la decisión judicial de no computar un determinado periodo de tiempo, en que el recurrente había simultaneado la condición de preso preventivo y de penado, para el abono de la prisión provisional en una ejecutoria en que se había acordado la acumulación de las condenas impuestas en diversas causas,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dichas resoluciones vulneran los referidos derechos fundamentales, en los términos que han sido interpretados por la jurisprudencia de este Tribunal Constitucional, por denegar el referido abono del tiempo sufrido en prisión provisional, tal como se ha expuesto en los antecedentes de esta Sentencia, pretendiendo su descuento del plazo máximo de cumplimiento fijado en la resolución judicial de refundición de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también expuesto con anterioridad, considera que las resoluciones impugnadas han vulnerado el derecho fundamental a la libertad personal (art. 17.1 CE)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en Pleno sobre esta cuestión en la STC 35/2014, de 27 de febrero (“Boletín Oficial del Estado” núm. 73, de 25 de marzo de 2014),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35/2014,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el período de tiempo en que simultáneamente se encontraba como preso preventivo y como penado no es contraria a la Constitución. Es decir, no es constitucionalmente exigible, en tales casos, una interpretación conjunta del art. 58.1 CP —en la redacción anterior a la Ley Orgánica 5/2010, de 22 de junio— y de los arts. 75 y 76 CP, que imponga el doble cómputo de un mismo período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período simultáneo de preventiva opere sobre el tope máximo fijado de “cumplimiento efectivo” que resulta de la acumulación jurídica de las condenas, no reguladas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(reiterada por la STC 55/2014, de 10 de abril) a las resoluciones impugnadas, podemos afirmar que el argumento contemplado en las mismas por el que se rechaza la solicitud de incluir en la liquidación como tiempo de abono el período comprendido desde el 20 de octubre de 1990 al 24 de febrero de 1992 y desde el 23 de enero de 1993 hasta el 2 de marzo de 2006, en que el recurrente simultaneó la situación de preso preventivo con la de penado, no puede tacharse de irrazonable. En efecto, la decisión judicial de no incluir en la liquidación el período de tiempo referido se fundamenta en que ya ha sido tenido en cuenta y abonado con ocasión de otra causa que cumple el recurrente, sin que la ley penal le otorgue el derecho a que todos los períodos de prisión preventiva simultáneos a la situación de penado le sean descontados del límite máximo de cumplimiento efectivo de las condenas acumuladas, fijado en su caso en treinta años. Esta interpretación de la legalidad no es contraria a la Constitución, pues, como señala la citada STC 35/2014, FJ 5, no es constitucionalmente exigible una interpretación conjunta de los arts. 58.1, 75 y 76 CP que imponga una y otra vez el doble cómputo de un mismo período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resoluciones judiciales impugnadas no han producido la alegada lesión del derecho a la libertad del demandante (art. 17.1 CE), al no contravenir lo dispuesto en el 58.1 CP, ni quebrantar tampoco el fundamento y los fines que justifican la acumulación jurídica (art. 76 CP), “a saber, mitigar el rigor de la acumulación material de penas, superando la finalidad meramente retributiva de la pena y acomodando la actividad punitiva a la conformación del Estado como Estado social y democrático” (STC 35/2014, FJ 6),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Carlos Balerdi Iturralde.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recurso de amparo núm. 2938-2012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con la fundamentación jurídica de la Sentencia y con su fallo por las mismas razones expuestas en el Voto particular que formulamos en la STC 35/2014, de 27 de febrero, a cuyo contenido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