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enero de 2013, el Procurador de los Tribunales don Alejandro González Salinas, en nombre y representación de la asociación de padres de alumnos “Torrevelo”, del colegio homónimo, con la asistencia del Letrado don Valeriano Hernández-Tavera Martín, interpuso demanda de amparo contra las resoluciones de la Consejería de Educación y del Consejo de Gobierno de Cantabria de 14 de abril y 13 de agosto de 2009; contra la Sentencia de 22 de junio de 2011 de la Sección Primera de la Sala de lo Contencioso-Administrativo del Tribunal Superior de Justicia de Cantabria, dictada en el procedimiento ordinario núm. 545-2009; y contra la Sentencia y el Auto dictados el 23 de julio y el 29 de noviembre de 2012, respectivamente, por la Sección Cuarta de la Sala de lo Contencioso-Administrativo del Tribunal Supremo en el recurso de casación núm. 4591-2011.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6 de mayo de 2013, acordó admitir a trámite la demanda; y el Pleno del Tribunal, por providencia de 24 de septiembre de 2013, conforme a lo establecido en el art. 10.1 n) de la Ley Orgánica del Tribunal Constitucional (LOTC), acordó recabar para sí su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23 de abril de 2014, el Magistrado don Ricardo Enríquez Sancho comunicó a los efectos oportunos su propósito de abstenerse de intervenir en el mencionado recurso de amparo, de conformidad con los arts. 219.11 de la Ley Orgánica del Poder Judicial y 80 LOTC, por haber formado parte de la Sección Cuarta de la Sala de lo Contencioso-Administrativo del Tribunal Supremo que resolvió el recurso de casación núm. 4591-2011 mediante la Sentencia de 23 de julio de 2012, que es objeto de impugnación en el presente proceso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este Tribunal, el Pleno, en virtud de lo previsto en el art. 219.11 de la Ley Orgánica del Poder Judicial, supletoria en este punto de la Ley Orgánica del Tribunal Constitucional (art. 80), estima justificada la causa de abstención manifestada, puesto que el mencionado Magistrado formó parte de la Sección Cuarta de la Sala de lo Contencioso-Administrativo del Tribunal Supremo que, resolviendo el recurso de casación núm. 4591-2011, dictó la Sentencia de 23 de julio de 2012 y el posterior Auto de 29 de noviembre de 2012, que son objeto de impugnación en el presente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210-2013, quien queda apartado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