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11 de febrero de 2014 y Auto de 7 de marzo de 2014 dictados por la Sección Cuarta de la Sala Tercera, de lo Contencioso-Administrativo del Tribunal Supremo en el recurso de casación núm. 4342-2010.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mayo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Tercera, de lo Contencioso-Administrativo del Tribunal Supremo que dictó la Sentencia de 11 de febrero de 2014 y el Auto de 7 de marzo de 2014 , resoluciones impugnadas en el presente recurso de amparo núm. 2907-2014.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Tercera de lo Contencioso-Administrativo del Tribunal Supremo que dictó la Sentencia de 11 de febrero de 2014 y el Auto de 7 de marzo de 2014, resoluciones que han sido impugnadas en el presente recurso de amparo núm. 2907-2014.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2907-2014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