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20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octubre de 2013, el Procurador de los Tribunales don Javier Cuevas Rivas, en nombre y representación de don Elías Fernández Castañares, interpuso demanda de amparo contra el Auto del Pleno de la Sala de lo Penal de la Audiencia Nacional de 10 de diciembre de 2012, recaído en la ejecutoria núm. 70-1986, por el que se acordó no acceder a la puesta en libertad solicitada por el actor, y contra el Auto de la Sala de lo Penal del Tribunal Supremo, de 23 de mayo de 2013, que inadmitió el recurso de casación interpuesto frente 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que se acordara la admisión a trámite del recurso, por la Sala de lo Penal de la Audiencia Nacional se puso en conocimiento de este Tribunal que por medio de Auto del Pleno de dicha Sala, de 12 de noviembre de 2013, se había acordado la extinción de la responsabilidad criminal y la puesta en libertad del actor, como consecuencia de la Sentencia del Tribunal Europeo de Derechos Humanos de 21 de octubre de 2013, caso Del Río Prada c. España. Una vez recibido el expresado Auto, la Sección Tercera de este Tribunal, por providencia de 11 de febrero de 2014, acordó conceder un plazo de diez días a las partes y al Ministerio Fiscal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presentó alegaciones mediante escrito registrado el 24 de febrero de 2014, en el que consideró que, habiéndose reestablecido los derechos fundamentales cuyo reconocimiento se reclamaba en la demanda, existía pérdida de objeto del recurso de amparo, por lo que solicitaba el archivo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alegaciones mediante escrito registrado el 10 de marzo de 2014, en el que consideró que existía pérdida sobrevenida de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En estos supuestos, por tanto, la demanda de amparo deja de tener objeto, toda vez que la reparación de la lesión del derecho fundamental por los propios órganos judiciales, antes de que este Tribunal haya dictado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y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presentes actuaciones se desprende que por Auto del Pleno de la Sala de lo Penal de la Audiencia Nacional, de 12 de noviembre de 2013, se resolvió hacer extensiva la aplicación de la Sentencia del Tribunal Europeo de Derechos Humanos de 21 de octubre de 2013 por la similitud existente con las pretensiones del demandante de amparo. Y, en consecuencia, tomar como referencia el tope máximo de treinta años para, a partir de él, hacer los descuentos que correspondan por redenciones, y acordar la libertad del recurrente. En dicho Auto se acordó su inmediata puesta en libertad y se declararon extinguidas las responsabilidades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reconocía que las redenciones debían ser abonadas del tope máximo de treinta años. Precisamente esa fue la pretensión que el demandante sostuvo en su recurso de amparo. Habiéndose reconocido como fecha de extinción de su condena el 26 de mayo de 2011, y procedido a la puesta en libertad del recurrente, de conformidad con lo dispuesto en los arts. 80 y 86.1 de la Ley Orgánica del Tribunal Constitucional (LOTC), en relación con el art. 22 de la Ley de enjuiciamiento civil, procede declarar la perdida de objeto del presente recurso, en tanto que la continuación del proceso no satisface ningún interés, al haberse dejado sin efecto el acto lesivo.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